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230E7" w14:textId="77777777" w:rsidR="003C4E20" w:rsidRDefault="003C4E20" w:rsidP="002434C6">
      <w:pPr>
        <w:rPr>
          <w:rFonts w:ascii="Times New Roman" w:hAnsi="Times New Roman" w:cs="Times New Roman"/>
          <w:sz w:val="56"/>
          <w:szCs w:val="52"/>
        </w:rPr>
      </w:pPr>
    </w:p>
    <w:p w14:paraId="6C9ADF5D" w14:textId="77777777" w:rsidR="002434C6" w:rsidRDefault="002434C6" w:rsidP="002434C6">
      <w:pPr>
        <w:rPr>
          <w:rFonts w:ascii="Times New Roman" w:hAnsi="Times New Roman" w:cs="Times New Roman"/>
          <w:sz w:val="56"/>
          <w:szCs w:val="52"/>
        </w:rPr>
      </w:pPr>
    </w:p>
    <w:p w14:paraId="0C77DDA3" w14:textId="77777777" w:rsidR="002434C6" w:rsidRDefault="002434C6" w:rsidP="002434C6">
      <w:pPr>
        <w:rPr>
          <w:rFonts w:ascii="Times New Roman" w:hAnsi="Times New Roman" w:cs="Times New Roman"/>
          <w:sz w:val="56"/>
          <w:szCs w:val="52"/>
        </w:rPr>
      </w:pPr>
    </w:p>
    <w:p w14:paraId="6D7E6A96" w14:textId="77777777" w:rsidR="002434C6" w:rsidRDefault="002434C6" w:rsidP="002434C6">
      <w:pPr>
        <w:rPr>
          <w:rFonts w:ascii="Times New Roman" w:hAnsi="Times New Roman" w:cs="Times New Roman"/>
          <w:sz w:val="56"/>
          <w:szCs w:val="52"/>
        </w:rPr>
      </w:pPr>
    </w:p>
    <w:p w14:paraId="25CBFB6C" w14:textId="77777777" w:rsidR="002434C6" w:rsidRPr="003C4E20" w:rsidRDefault="002434C6" w:rsidP="002434C6">
      <w:pPr>
        <w:rPr>
          <w:rFonts w:ascii="Times New Roman" w:hAnsi="Times New Roman" w:cs="Times New Roman"/>
          <w:sz w:val="56"/>
          <w:szCs w:val="52"/>
        </w:rPr>
      </w:pPr>
    </w:p>
    <w:p w14:paraId="24381DD8" w14:textId="77777777" w:rsidR="00737A41" w:rsidRDefault="00737A41" w:rsidP="00737A41">
      <w:pPr>
        <w:jc w:val="center"/>
        <w:rPr>
          <w:rFonts w:ascii="Times New Roman" w:hAnsi="Times New Roman" w:cs="Times New Roman"/>
          <w:b/>
          <w:bCs/>
          <w:sz w:val="56"/>
          <w:szCs w:val="52"/>
        </w:rPr>
      </w:pPr>
      <w:r w:rsidRPr="00737A41">
        <w:rPr>
          <w:rFonts w:ascii="Times New Roman" w:hAnsi="Times New Roman" w:cs="Times New Roman"/>
          <w:b/>
          <w:bCs/>
          <w:sz w:val="56"/>
          <w:szCs w:val="52"/>
        </w:rPr>
        <w:t>AKCIJSK</w:t>
      </w:r>
      <w:r>
        <w:rPr>
          <w:rFonts w:ascii="Times New Roman" w:hAnsi="Times New Roman" w:cs="Times New Roman"/>
          <w:b/>
          <w:bCs/>
          <w:sz w:val="56"/>
          <w:szCs w:val="52"/>
        </w:rPr>
        <w:t>I</w:t>
      </w:r>
      <w:r w:rsidRPr="00737A41">
        <w:rPr>
          <w:rFonts w:ascii="Times New Roman" w:hAnsi="Times New Roman" w:cs="Times New Roman"/>
          <w:b/>
          <w:bCs/>
          <w:sz w:val="56"/>
          <w:szCs w:val="52"/>
        </w:rPr>
        <w:t xml:space="preserve"> PLAN</w:t>
      </w:r>
    </w:p>
    <w:p w14:paraId="2BA5068E" w14:textId="1C040294" w:rsidR="00737A41" w:rsidRDefault="00B86D95" w:rsidP="00737A41">
      <w:pPr>
        <w:jc w:val="center"/>
        <w:rPr>
          <w:rFonts w:ascii="Times New Roman" w:hAnsi="Times New Roman" w:cs="Times New Roman"/>
          <w:sz w:val="56"/>
          <w:szCs w:val="52"/>
        </w:rPr>
      </w:pPr>
      <w:r w:rsidRPr="00B86D95">
        <w:rPr>
          <w:rFonts w:ascii="Times New Roman" w:hAnsi="Times New Roman" w:cs="Times New Roman"/>
          <w:bCs/>
          <w:sz w:val="56"/>
          <w:szCs w:val="52"/>
        </w:rPr>
        <w:t xml:space="preserve">ZA </w:t>
      </w:r>
      <w:r w:rsidR="00737A41" w:rsidRPr="00737A41">
        <w:rPr>
          <w:rFonts w:ascii="Times New Roman" w:hAnsi="Times New Roman" w:cs="Times New Roman"/>
          <w:sz w:val="56"/>
          <w:szCs w:val="52"/>
        </w:rPr>
        <w:t>PROVEDB</w:t>
      </w:r>
      <w:r>
        <w:rPr>
          <w:rFonts w:ascii="Times New Roman" w:hAnsi="Times New Roman" w:cs="Times New Roman"/>
          <w:sz w:val="56"/>
          <w:szCs w:val="52"/>
        </w:rPr>
        <w:t>U</w:t>
      </w:r>
      <w:r w:rsidR="00737A41" w:rsidRPr="00737A41">
        <w:rPr>
          <w:rFonts w:ascii="Times New Roman" w:hAnsi="Times New Roman" w:cs="Times New Roman"/>
          <w:sz w:val="56"/>
          <w:szCs w:val="52"/>
        </w:rPr>
        <w:t xml:space="preserve"> </w:t>
      </w:r>
    </w:p>
    <w:p w14:paraId="6EC7D595" w14:textId="5020A15C" w:rsidR="00737A41" w:rsidRPr="00737A41" w:rsidRDefault="00737A41" w:rsidP="00B86D95">
      <w:pPr>
        <w:jc w:val="center"/>
        <w:rPr>
          <w:rFonts w:ascii="Times New Roman" w:hAnsi="Times New Roman" w:cs="Times New Roman"/>
          <w:sz w:val="24"/>
        </w:rPr>
      </w:pPr>
      <w:r w:rsidRPr="00737A41">
        <w:rPr>
          <w:rFonts w:ascii="Times New Roman" w:hAnsi="Times New Roman" w:cs="Times New Roman"/>
          <w:sz w:val="56"/>
          <w:szCs w:val="52"/>
        </w:rPr>
        <w:t xml:space="preserve">NACIONALNOG PLANA RAZVOJA ODRŽIVOG TURIZMA </w:t>
      </w:r>
      <w:r w:rsidR="00777A0A">
        <w:rPr>
          <w:rFonts w:ascii="Times New Roman" w:hAnsi="Times New Roman" w:cs="Times New Roman"/>
          <w:sz w:val="56"/>
          <w:szCs w:val="52"/>
        </w:rPr>
        <w:t xml:space="preserve">ZA RAZDOBLJE </w:t>
      </w:r>
      <w:r w:rsidRPr="00737A41">
        <w:rPr>
          <w:rFonts w:ascii="Times New Roman" w:hAnsi="Times New Roman" w:cs="Times New Roman"/>
          <w:sz w:val="56"/>
          <w:szCs w:val="52"/>
        </w:rPr>
        <w:t>DO 2027. GODINE</w:t>
      </w:r>
    </w:p>
    <w:p w14:paraId="3060F7A7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sz w:val="24"/>
        </w:rPr>
      </w:pPr>
    </w:p>
    <w:p w14:paraId="13099F1B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sz w:val="24"/>
        </w:rPr>
      </w:pPr>
    </w:p>
    <w:p w14:paraId="732995B0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sz w:val="24"/>
        </w:rPr>
      </w:pPr>
    </w:p>
    <w:p w14:paraId="1D607AB3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sz w:val="24"/>
        </w:rPr>
      </w:pPr>
    </w:p>
    <w:p w14:paraId="194FDEF3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sz w:val="24"/>
        </w:rPr>
      </w:pPr>
    </w:p>
    <w:p w14:paraId="2828D36A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sz w:val="24"/>
        </w:rPr>
      </w:pPr>
    </w:p>
    <w:p w14:paraId="414359C2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sz w:val="24"/>
        </w:rPr>
      </w:pPr>
    </w:p>
    <w:p w14:paraId="4FD72F8F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sz w:val="20"/>
          <w:szCs w:val="18"/>
        </w:rPr>
      </w:pPr>
    </w:p>
    <w:p w14:paraId="2A4E9A63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sz w:val="20"/>
          <w:szCs w:val="18"/>
        </w:rPr>
      </w:pPr>
    </w:p>
    <w:p w14:paraId="24858A21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sz w:val="20"/>
          <w:szCs w:val="18"/>
        </w:rPr>
      </w:pPr>
    </w:p>
    <w:p w14:paraId="3210D660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sz w:val="20"/>
          <w:szCs w:val="18"/>
        </w:rPr>
      </w:pPr>
    </w:p>
    <w:p w14:paraId="4AFCF82B" w14:textId="72DEE0DB" w:rsidR="003C4E20" w:rsidRPr="003C4E20" w:rsidRDefault="00777A0A" w:rsidP="00E3629C">
      <w:pPr>
        <w:keepNext/>
        <w:keepLines/>
        <w:spacing w:before="240" w:after="0"/>
        <w:jc w:val="center"/>
        <w:rPr>
          <w:rFonts w:ascii="Candara" w:hAnsi="Candara"/>
        </w:rPr>
        <w:sectPr w:rsidR="003C4E20" w:rsidRPr="003C4E20" w:rsidSect="003C4E20"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18"/>
        </w:rPr>
        <w:t xml:space="preserve">travanj </w:t>
      </w:r>
      <w:r w:rsidR="002434C6">
        <w:rPr>
          <w:rFonts w:ascii="Times New Roman" w:hAnsi="Times New Roman" w:cs="Times New Roman"/>
          <w:sz w:val="20"/>
          <w:szCs w:val="18"/>
        </w:rPr>
        <w:t>202</w:t>
      </w:r>
      <w:r w:rsidR="00B31C34">
        <w:rPr>
          <w:rFonts w:ascii="Times New Roman" w:hAnsi="Times New Roman" w:cs="Times New Roman"/>
          <w:sz w:val="20"/>
          <w:szCs w:val="18"/>
        </w:rPr>
        <w:t>6</w:t>
      </w:r>
      <w:r w:rsidR="003C4E20" w:rsidRPr="003C4E20">
        <w:rPr>
          <w:rFonts w:ascii="Times New Roman" w:hAnsi="Times New Roman" w:cs="Times New Roman"/>
          <w:sz w:val="20"/>
          <w:szCs w:val="18"/>
        </w:rPr>
        <w:t>.</w:t>
      </w:r>
    </w:p>
    <w:p w14:paraId="65C9548C" w14:textId="77777777" w:rsidR="003C4E20" w:rsidRPr="003C4E20" w:rsidRDefault="003C4E20" w:rsidP="003C4E20">
      <w:pPr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  <w:r w:rsidRPr="003C4E20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lastRenderedPageBreak/>
        <w:t>Popis kratica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41"/>
        <w:gridCol w:w="6355"/>
      </w:tblGrid>
      <w:tr w:rsidR="007632BD" w:rsidRPr="003C4E20" w14:paraId="1AC004B5" w14:textId="77777777" w:rsidTr="003C4E20">
        <w:tc>
          <w:tcPr>
            <w:tcW w:w="1468" w:type="pct"/>
            <w:shd w:val="clear" w:color="auto" w:fill="DEEAF6" w:themeFill="accent1" w:themeFillTint="33"/>
          </w:tcPr>
          <w:p w14:paraId="77BD7146" w14:textId="77777777" w:rsidR="003C4E20" w:rsidRPr="003C4E20" w:rsidRDefault="003C4E20" w:rsidP="003C4E20">
            <w:pPr>
              <w:rPr>
                <w:b/>
                <w:iCs/>
                <w:sz w:val="20"/>
                <w:szCs w:val="20"/>
              </w:rPr>
            </w:pPr>
            <w:r w:rsidRPr="003C4E20">
              <w:rPr>
                <w:b/>
                <w:iCs/>
                <w:sz w:val="20"/>
                <w:szCs w:val="20"/>
              </w:rPr>
              <w:t>Kratica</w:t>
            </w:r>
          </w:p>
        </w:tc>
        <w:tc>
          <w:tcPr>
            <w:tcW w:w="3532" w:type="pct"/>
            <w:shd w:val="clear" w:color="auto" w:fill="DEEAF6" w:themeFill="accent1" w:themeFillTint="33"/>
          </w:tcPr>
          <w:p w14:paraId="39AF7248" w14:textId="77777777" w:rsidR="003C4E20" w:rsidRPr="003C4E20" w:rsidRDefault="003C4E20" w:rsidP="003C4E20">
            <w:pPr>
              <w:rPr>
                <w:b/>
                <w:iCs/>
                <w:sz w:val="20"/>
                <w:szCs w:val="20"/>
              </w:rPr>
            </w:pPr>
            <w:r w:rsidRPr="003C4E20">
              <w:rPr>
                <w:b/>
                <w:iCs/>
                <w:sz w:val="20"/>
                <w:szCs w:val="20"/>
              </w:rPr>
              <w:t>Obrazloženje</w:t>
            </w:r>
          </w:p>
        </w:tc>
      </w:tr>
      <w:tr w:rsidR="007632BD" w:rsidRPr="003C4E20" w14:paraId="4B12E070" w14:textId="77777777" w:rsidTr="003C4E20">
        <w:tc>
          <w:tcPr>
            <w:tcW w:w="1468" w:type="pct"/>
            <w:vAlign w:val="center"/>
          </w:tcPr>
          <w:p w14:paraId="53815158" w14:textId="6B40F1DA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DZ</w:t>
            </w:r>
            <w:r w:rsidR="00935EA6">
              <w:rPr>
                <w:sz w:val="20"/>
                <w:szCs w:val="20"/>
              </w:rPr>
              <w:t>S</w:t>
            </w:r>
          </w:p>
        </w:tc>
        <w:tc>
          <w:tcPr>
            <w:tcW w:w="3532" w:type="pct"/>
            <w:vAlign w:val="center"/>
          </w:tcPr>
          <w:p w14:paraId="231A82A6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Državni zavod za statistiku</w:t>
            </w:r>
          </w:p>
        </w:tc>
      </w:tr>
      <w:tr w:rsidR="007632BD" w:rsidRPr="003C4E20" w14:paraId="2F6182FF" w14:textId="77777777" w:rsidTr="003C4E20">
        <w:tc>
          <w:tcPr>
            <w:tcW w:w="1468" w:type="pct"/>
            <w:vAlign w:val="center"/>
          </w:tcPr>
          <w:p w14:paraId="2E390321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EMAS</w:t>
            </w:r>
          </w:p>
        </w:tc>
        <w:tc>
          <w:tcPr>
            <w:tcW w:w="3532" w:type="pct"/>
            <w:vAlign w:val="center"/>
          </w:tcPr>
          <w:p w14:paraId="5C39C5AE" w14:textId="333E9239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(</w:t>
            </w:r>
            <w:r w:rsidR="00935EA6">
              <w:rPr>
                <w:i/>
                <w:sz w:val="20"/>
                <w:szCs w:val="20"/>
              </w:rPr>
              <w:t>eng. Eco - M</w:t>
            </w:r>
            <w:r w:rsidRPr="003C4E20">
              <w:rPr>
                <w:i/>
                <w:sz w:val="20"/>
                <w:szCs w:val="20"/>
              </w:rPr>
              <w:t xml:space="preserve">anagement </w:t>
            </w:r>
            <w:proofErr w:type="spellStart"/>
            <w:r w:rsidR="00935EA6">
              <w:rPr>
                <w:i/>
                <w:sz w:val="20"/>
                <w:szCs w:val="20"/>
              </w:rPr>
              <w:t>and</w:t>
            </w:r>
            <w:proofErr w:type="spellEnd"/>
            <w:r w:rsidR="00935EA6">
              <w:rPr>
                <w:i/>
                <w:sz w:val="20"/>
                <w:szCs w:val="20"/>
              </w:rPr>
              <w:t xml:space="preserve"> </w:t>
            </w:r>
            <w:r w:rsidRPr="003C4E20">
              <w:rPr>
                <w:i/>
                <w:sz w:val="20"/>
                <w:szCs w:val="20"/>
              </w:rPr>
              <w:t xml:space="preserve">Audit </w:t>
            </w:r>
            <w:proofErr w:type="spellStart"/>
            <w:r w:rsidRPr="003C4E20">
              <w:rPr>
                <w:i/>
                <w:sz w:val="20"/>
                <w:szCs w:val="20"/>
              </w:rPr>
              <w:t>Scheme</w:t>
            </w:r>
            <w:proofErr w:type="spellEnd"/>
            <w:r w:rsidRPr="003C4E20">
              <w:rPr>
                <w:sz w:val="20"/>
                <w:szCs w:val="20"/>
              </w:rPr>
              <w:t>)</w:t>
            </w:r>
            <w:r w:rsidRPr="003C4E20">
              <w:rPr>
                <w:sz w:val="16"/>
                <w:szCs w:val="16"/>
              </w:rPr>
              <w:t xml:space="preserve"> </w:t>
            </w:r>
            <w:r w:rsidRPr="003C4E20">
              <w:rPr>
                <w:sz w:val="20"/>
                <w:szCs w:val="20"/>
              </w:rPr>
              <w:t>Sustav ekološkog upravljanja i neovisnog ocjenjivanja</w:t>
            </w:r>
          </w:p>
        </w:tc>
      </w:tr>
      <w:tr w:rsidR="007632BD" w:rsidRPr="003C4E20" w14:paraId="47F2873D" w14:textId="77777777" w:rsidTr="003C4E20">
        <w:tc>
          <w:tcPr>
            <w:tcW w:w="1468" w:type="pct"/>
            <w:vAlign w:val="center"/>
          </w:tcPr>
          <w:p w14:paraId="4AEB41DC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EU</w:t>
            </w:r>
          </w:p>
        </w:tc>
        <w:tc>
          <w:tcPr>
            <w:tcW w:w="3532" w:type="pct"/>
            <w:vAlign w:val="center"/>
          </w:tcPr>
          <w:p w14:paraId="3E4A6ADD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Europska unija</w:t>
            </w:r>
          </w:p>
        </w:tc>
      </w:tr>
      <w:tr w:rsidR="007632BD" w:rsidRPr="003C4E20" w14:paraId="16DD71B6" w14:textId="77777777" w:rsidTr="003C4E20">
        <w:tc>
          <w:tcPr>
            <w:tcW w:w="1468" w:type="pct"/>
            <w:vAlign w:val="center"/>
          </w:tcPr>
          <w:p w14:paraId="3E3AF8AA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HAMAG BICRO</w:t>
            </w:r>
          </w:p>
        </w:tc>
        <w:tc>
          <w:tcPr>
            <w:tcW w:w="3532" w:type="pct"/>
            <w:vAlign w:val="center"/>
          </w:tcPr>
          <w:p w14:paraId="776272DD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Hrvatska agencija za malo gospodarstvo, inovacije i investicije</w:t>
            </w:r>
          </w:p>
        </w:tc>
      </w:tr>
      <w:tr w:rsidR="00115E5A" w:rsidRPr="003C4E20" w14:paraId="0D9C5889" w14:textId="77777777" w:rsidTr="003C4E20">
        <w:tc>
          <w:tcPr>
            <w:tcW w:w="1468" w:type="pct"/>
            <w:vAlign w:val="center"/>
          </w:tcPr>
          <w:p w14:paraId="2985442D" w14:textId="7E5F52DE" w:rsidR="00115E5A" w:rsidRPr="003C4E20" w:rsidRDefault="00115E5A" w:rsidP="003C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HBOR</w:t>
            </w:r>
          </w:p>
        </w:tc>
        <w:tc>
          <w:tcPr>
            <w:tcW w:w="3532" w:type="pct"/>
            <w:vAlign w:val="center"/>
          </w:tcPr>
          <w:p w14:paraId="78952AEA" w14:textId="5CFFD85F" w:rsidR="00115E5A" w:rsidRPr="003C4E20" w:rsidRDefault="00115E5A" w:rsidP="003C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Hrvatska banka za obnovu i razvitak</w:t>
            </w:r>
          </w:p>
        </w:tc>
      </w:tr>
      <w:tr w:rsidR="007632BD" w:rsidRPr="003C4E20" w14:paraId="39D0BA4B" w14:textId="77777777" w:rsidTr="003C4E20">
        <w:tc>
          <w:tcPr>
            <w:tcW w:w="1468" w:type="pct"/>
            <w:vAlign w:val="center"/>
          </w:tcPr>
          <w:p w14:paraId="48601C79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HGSS</w:t>
            </w:r>
          </w:p>
        </w:tc>
        <w:tc>
          <w:tcPr>
            <w:tcW w:w="3532" w:type="pct"/>
            <w:vAlign w:val="center"/>
          </w:tcPr>
          <w:p w14:paraId="2A312121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Hrvatska gorska služba spašavanja</w:t>
            </w:r>
          </w:p>
        </w:tc>
      </w:tr>
      <w:tr w:rsidR="007632BD" w:rsidRPr="003C4E20" w14:paraId="0B0E0068" w14:textId="77777777" w:rsidTr="003C4E20">
        <w:tc>
          <w:tcPr>
            <w:tcW w:w="1468" w:type="pct"/>
            <w:vAlign w:val="center"/>
          </w:tcPr>
          <w:p w14:paraId="178797C8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HR</w:t>
            </w:r>
          </w:p>
        </w:tc>
        <w:tc>
          <w:tcPr>
            <w:tcW w:w="3532" w:type="pct"/>
            <w:vAlign w:val="center"/>
          </w:tcPr>
          <w:p w14:paraId="47D6808A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Hrvatska</w:t>
            </w:r>
          </w:p>
        </w:tc>
      </w:tr>
      <w:tr w:rsidR="007632BD" w:rsidRPr="003C4E20" w14:paraId="74CD46FB" w14:textId="77777777" w:rsidTr="003C4E20">
        <w:tc>
          <w:tcPr>
            <w:tcW w:w="1468" w:type="pct"/>
            <w:vAlign w:val="center"/>
          </w:tcPr>
          <w:p w14:paraId="33325A31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HTZ</w:t>
            </w:r>
          </w:p>
        </w:tc>
        <w:tc>
          <w:tcPr>
            <w:tcW w:w="3532" w:type="pct"/>
            <w:vAlign w:val="center"/>
          </w:tcPr>
          <w:p w14:paraId="2DBADD6C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Hrvatska turistička zajednica</w:t>
            </w:r>
          </w:p>
        </w:tc>
      </w:tr>
      <w:tr w:rsidR="007632BD" w:rsidRPr="003C4E20" w14:paraId="27DF0FB5" w14:textId="77777777" w:rsidTr="003C4E20">
        <w:tc>
          <w:tcPr>
            <w:tcW w:w="1468" w:type="pct"/>
            <w:vAlign w:val="center"/>
          </w:tcPr>
          <w:p w14:paraId="022907B8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HZZ</w:t>
            </w:r>
          </w:p>
        </w:tc>
        <w:tc>
          <w:tcPr>
            <w:tcW w:w="3532" w:type="pct"/>
            <w:vAlign w:val="center"/>
          </w:tcPr>
          <w:p w14:paraId="7B19CD1F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Hrvatski zavod za zapošljavanje</w:t>
            </w:r>
          </w:p>
        </w:tc>
      </w:tr>
      <w:tr w:rsidR="007632BD" w:rsidRPr="003C4E20" w14:paraId="40687A4E" w14:textId="77777777" w:rsidTr="003C4E20">
        <w:tc>
          <w:tcPr>
            <w:tcW w:w="1468" w:type="pct"/>
            <w:vAlign w:val="center"/>
          </w:tcPr>
          <w:p w14:paraId="336A5D75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 xml:space="preserve">ICT </w:t>
            </w:r>
          </w:p>
        </w:tc>
        <w:tc>
          <w:tcPr>
            <w:tcW w:w="3532" w:type="pct"/>
            <w:vAlign w:val="center"/>
          </w:tcPr>
          <w:p w14:paraId="12902F04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Informacijske i komunikacijske tehnologije</w:t>
            </w:r>
          </w:p>
        </w:tc>
      </w:tr>
      <w:tr w:rsidR="007632BD" w:rsidRPr="003C4E20" w14:paraId="6541529F" w14:textId="77777777" w:rsidTr="003C4E20">
        <w:tc>
          <w:tcPr>
            <w:tcW w:w="1468" w:type="pct"/>
            <w:vAlign w:val="center"/>
          </w:tcPr>
          <w:p w14:paraId="0328D19D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TTDI-WEF</w:t>
            </w:r>
          </w:p>
        </w:tc>
        <w:tc>
          <w:tcPr>
            <w:tcW w:w="3532" w:type="pct"/>
            <w:vAlign w:val="center"/>
          </w:tcPr>
          <w:p w14:paraId="4FFE2E41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Indeks razvoja putovanja i turizma – Svjetski gospodarski forum</w:t>
            </w:r>
          </w:p>
        </w:tc>
      </w:tr>
      <w:tr w:rsidR="007632BD" w:rsidRPr="003C4E20" w14:paraId="3D94F94A" w14:textId="77777777" w:rsidTr="003C4E20">
        <w:tc>
          <w:tcPr>
            <w:tcW w:w="1468" w:type="pct"/>
            <w:vAlign w:val="center"/>
          </w:tcPr>
          <w:p w14:paraId="160B9AE5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ISO</w:t>
            </w:r>
          </w:p>
        </w:tc>
        <w:tc>
          <w:tcPr>
            <w:tcW w:w="3532" w:type="pct"/>
            <w:vAlign w:val="center"/>
          </w:tcPr>
          <w:p w14:paraId="564203B4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Sustav upravljanja kvalitetom</w:t>
            </w:r>
          </w:p>
        </w:tc>
      </w:tr>
      <w:tr w:rsidR="007632BD" w:rsidRPr="003C4E20" w14:paraId="4A9FDF82" w14:textId="77777777" w:rsidTr="003C4E20">
        <w:tc>
          <w:tcPr>
            <w:tcW w:w="1468" w:type="pct"/>
            <w:vAlign w:val="center"/>
          </w:tcPr>
          <w:p w14:paraId="172C711D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IT</w:t>
            </w:r>
          </w:p>
        </w:tc>
        <w:tc>
          <w:tcPr>
            <w:tcW w:w="3532" w:type="pct"/>
            <w:vAlign w:val="center"/>
          </w:tcPr>
          <w:p w14:paraId="1EFC2839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informacijske tehnologije</w:t>
            </w:r>
          </w:p>
        </w:tc>
      </w:tr>
      <w:tr w:rsidR="007632BD" w:rsidRPr="003C4E20" w14:paraId="059FB722" w14:textId="77777777" w:rsidTr="003C4E20">
        <w:tc>
          <w:tcPr>
            <w:tcW w:w="1468" w:type="pct"/>
            <w:vAlign w:val="center"/>
          </w:tcPr>
          <w:p w14:paraId="724E5F08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ITR</w:t>
            </w:r>
          </w:p>
        </w:tc>
        <w:tc>
          <w:tcPr>
            <w:tcW w:w="3532" w:type="pct"/>
            <w:vAlign w:val="center"/>
          </w:tcPr>
          <w:p w14:paraId="43A0A9D2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indeks turističke razvijenosti</w:t>
            </w:r>
          </w:p>
        </w:tc>
      </w:tr>
      <w:tr w:rsidR="007632BD" w:rsidRPr="003C4E20" w14:paraId="3590973F" w14:textId="77777777" w:rsidTr="003C4E20">
        <w:tc>
          <w:tcPr>
            <w:tcW w:w="1468" w:type="pct"/>
            <w:vAlign w:val="center"/>
          </w:tcPr>
          <w:p w14:paraId="5B413EA9" w14:textId="77777777" w:rsidR="00F15966" w:rsidRPr="003C4E20" w:rsidRDefault="00F15966" w:rsidP="003C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IZTZG</w:t>
            </w:r>
          </w:p>
        </w:tc>
        <w:tc>
          <w:tcPr>
            <w:tcW w:w="3532" w:type="pct"/>
            <w:vAlign w:val="center"/>
          </w:tcPr>
          <w:p w14:paraId="710DB2C8" w14:textId="77777777" w:rsidR="00F15966" w:rsidRPr="003C4E20" w:rsidRDefault="00F15966" w:rsidP="003C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 za turizam</w:t>
            </w:r>
          </w:p>
        </w:tc>
      </w:tr>
      <w:tr w:rsidR="007632BD" w:rsidRPr="003C4E20" w14:paraId="6D5BBA77" w14:textId="77777777" w:rsidTr="003C4E20">
        <w:tc>
          <w:tcPr>
            <w:tcW w:w="1468" w:type="pct"/>
            <w:vAlign w:val="center"/>
          </w:tcPr>
          <w:p w14:paraId="070717A5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JLP(R)S</w:t>
            </w:r>
          </w:p>
        </w:tc>
        <w:tc>
          <w:tcPr>
            <w:tcW w:w="3532" w:type="pct"/>
            <w:vAlign w:val="center"/>
          </w:tcPr>
          <w:p w14:paraId="3622BA8E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 xml:space="preserve">jedinice lokalne </w:t>
            </w:r>
            <w:r w:rsidR="00DE1558">
              <w:rPr>
                <w:sz w:val="20"/>
                <w:szCs w:val="20"/>
              </w:rPr>
              <w:t xml:space="preserve">i </w:t>
            </w:r>
            <w:r w:rsidRPr="003C4E20">
              <w:rPr>
                <w:sz w:val="20"/>
                <w:szCs w:val="20"/>
              </w:rPr>
              <w:t>područne (regionalne) samouprave</w:t>
            </w:r>
          </w:p>
        </w:tc>
      </w:tr>
      <w:tr w:rsidR="007632BD" w:rsidRPr="003C4E20" w14:paraId="520157DD" w14:textId="77777777" w:rsidTr="003C4E20">
        <w:tc>
          <w:tcPr>
            <w:tcW w:w="1468" w:type="pct"/>
            <w:vAlign w:val="center"/>
          </w:tcPr>
          <w:p w14:paraId="730D621C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JLS</w:t>
            </w:r>
          </w:p>
        </w:tc>
        <w:tc>
          <w:tcPr>
            <w:tcW w:w="3532" w:type="pct"/>
            <w:vAlign w:val="center"/>
          </w:tcPr>
          <w:p w14:paraId="6379C82D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jedinice lokalne samouprave</w:t>
            </w:r>
          </w:p>
        </w:tc>
      </w:tr>
      <w:tr w:rsidR="007632BD" w:rsidRPr="003C4E20" w14:paraId="241BFC9D" w14:textId="77777777" w:rsidTr="003C4E20">
        <w:tc>
          <w:tcPr>
            <w:tcW w:w="1468" w:type="pct"/>
            <w:vAlign w:val="center"/>
          </w:tcPr>
          <w:p w14:paraId="18949A3F" w14:textId="77777777" w:rsidR="003C4E20" w:rsidRPr="00012226" w:rsidRDefault="003C4E20" w:rsidP="003C4E20">
            <w:pPr>
              <w:rPr>
                <w:sz w:val="20"/>
                <w:szCs w:val="20"/>
              </w:rPr>
            </w:pPr>
            <w:r w:rsidRPr="00012226">
              <w:rPr>
                <w:sz w:val="20"/>
                <w:szCs w:val="20"/>
              </w:rPr>
              <w:t xml:space="preserve">JU ZP </w:t>
            </w:r>
          </w:p>
        </w:tc>
        <w:tc>
          <w:tcPr>
            <w:tcW w:w="3532" w:type="pct"/>
            <w:vAlign w:val="center"/>
          </w:tcPr>
          <w:p w14:paraId="17EE1803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012226">
              <w:rPr>
                <w:sz w:val="20"/>
                <w:szCs w:val="20"/>
              </w:rPr>
              <w:t>javne ustanove za zaštitu prirode</w:t>
            </w:r>
          </w:p>
        </w:tc>
      </w:tr>
      <w:tr w:rsidR="007632BD" w:rsidRPr="003C4E20" w14:paraId="38A67DBE" w14:textId="77777777" w:rsidTr="003C4E20">
        <w:tc>
          <w:tcPr>
            <w:tcW w:w="1468" w:type="pct"/>
            <w:vAlign w:val="center"/>
          </w:tcPr>
          <w:p w14:paraId="60B6DE7C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MFIN</w:t>
            </w:r>
          </w:p>
        </w:tc>
        <w:tc>
          <w:tcPr>
            <w:tcW w:w="3532" w:type="pct"/>
            <w:vAlign w:val="center"/>
          </w:tcPr>
          <w:p w14:paraId="628237E0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 xml:space="preserve">Ministarstvo financija </w:t>
            </w:r>
          </w:p>
        </w:tc>
      </w:tr>
      <w:tr w:rsidR="007632BD" w:rsidRPr="003C4E20" w14:paraId="50379258" w14:textId="77777777" w:rsidTr="003C4E20">
        <w:tc>
          <w:tcPr>
            <w:tcW w:w="1468" w:type="pct"/>
            <w:vAlign w:val="center"/>
          </w:tcPr>
          <w:p w14:paraId="6632B50B" w14:textId="77777777" w:rsidR="003C4E20" w:rsidRPr="003C4E20" w:rsidRDefault="00C0219C" w:rsidP="003C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MPG</w:t>
            </w:r>
            <w:r w:rsidR="00DE1558">
              <w:rPr>
                <w:sz w:val="20"/>
                <w:szCs w:val="20"/>
              </w:rPr>
              <w:t>I</w:t>
            </w:r>
          </w:p>
        </w:tc>
        <w:tc>
          <w:tcPr>
            <w:tcW w:w="3532" w:type="pct"/>
            <w:vAlign w:val="center"/>
          </w:tcPr>
          <w:p w14:paraId="42584ABA" w14:textId="77777777" w:rsidR="003C4E20" w:rsidRPr="003C4E20" w:rsidRDefault="003C4E20" w:rsidP="00DE1558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 xml:space="preserve">Ministarstvo </w:t>
            </w:r>
            <w:r w:rsidR="00DE1558">
              <w:rPr>
                <w:sz w:val="20"/>
                <w:szCs w:val="20"/>
              </w:rPr>
              <w:t xml:space="preserve">prostornoga uređenja, </w:t>
            </w:r>
            <w:r w:rsidRPr="003C4E20">
              <w:rPr>
                <w:sz w:val="20"/>
                <w:szCs w:val="20"/>
              </w:rPr>
              <w:t xml:space="preserve">graditeljstva i </w:t>
            </w:r>
            <w:r w:rsidR="00DE1558">
              <w:rPr>
                <w:sz w:val="20"/>
                <w:szCs w:val="20"/>
              </w:rPr>
              <w:t>državne imovine</w:t>
            </w:r>
          </w:p>
        </w:tc>
      </w:tr>
      <w:tr w:rsidR="007632BD" w:rsidRPr="003C4E20" w14:paraId="4D26641E" w14:textId="77777777" w:rsidTr="003C4E20">
        <w:tc>
          <w:tcPr>
            <w:tcW w:w="1468" w:type="pct"/>
            <w:vAlign w:val="center"/>
          </w:tcPr>
          <w:p w14:paraId="7EF60C76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MINTS</w:t>
            </w:r>
          </w:p>
        </w:tc>
        <w:tc>
          <w:tcPr>
            <w:tcW w:w="3532" w:type="pct"/>
            <w:vAlign w:val="center"/>
          </w:tcPr>
          <w:p w14:paraId="40490A8C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 xml:space="preserve">Ministarstvo turizma i sporta </w:t>
            </w:r>
          </w:p>
        </w:tc>
      </w:tr>
      <w:tr w:rsidR="007632BD" w:rsidRPr="003C4E20" w14:paraId="6C44B2CF" w14:textId="77777777" w:rsidTr="003C4E20">
        <w:tc>
          <w:tcPr>
            <w:tcW w:w="1468" w:type="pct"/>
            <w:vAlign w:val="center"/>
          </w:tcPr>
          <w:p w14:paraId="54DBA2C5" w14:textId="77777777" w:rsidR="004855E3" w:rsidRPr="00012226" w:rsidRDefault="004855E3" w:rsidP="003C4E20">
            <w:pPr>
              <w:rPr>
                <w:sz w:val="20"/>
                <w:szCs w:val="20"/>
              </w:rPr>
            </w:pPr>
            <w:r w:rsidRPr="00012226">
              <w:rPr>
                <w:sz w:val="20"/>
                <w:szCs w:val="20"/>
              </w:rPr>
              <w:t>MZOZT</w:t>
            </w:r>
          </w:p>
        </w:tc>
        <w:tc>
          <w:tcPr>
            <w:tcW w:w="3532" w:type="pct"/>
            <w:vAlign w:val="center"/>
          </w:tcPr>
          <w:p w14:paraId="09005189" w14:textId="77777777" w:rsidR="004855E3" w:rsidRPr="004855E3" w:rsidRDefault="004855E3" w:rsidP="003C4E20">
            <w:pPr>
              <w:rPr>
                <w:sz w:val="20"/>
                <w:szCs w:val="20"/>
                <w:highlight w:val="yellow"/>
              </w:rPr>
            </w:pPr>
            <w:r w:rsidRPr="004855E3">
              <w:rPr>
                <w:sz w:val="20"/>
                <w:szCs w:val="20"/>
              </w:rPr>
              <w:t>Ministarstvo zaštite okoliša i zelene tranzicije</w:t>
            </w:r>
          </w:p>
        </w:tc>
      </w:tr>
      <w:tr w:rsidR="007632BD" w:rsidRPr="003C4E20" w14:paraId="07EDC94C" w14:textId="77777777" w:rsidTr="003C4E20">
        <w:tc>
          <w:tcPr>
            <w:tcW w:w="1468" w:type="pct"/>
            <w:vAlign w:val="center"/>
          </w:tcPr>
          <w:p w14:paraId="228C9853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MUP</w:t>
            </w:r>
          </w:p>
        </w:tc>
        <w:tc>
          <w:tcPr>
            <w:tcW w:w="3532" w:type="pct"/>
            <w:vAlign w:val="center"/>
          </w:tcPr>
          <w:p w14:paraId="06BC7C00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 xml:space="preserve">Ministarstvo unutarnjih poslova </w:t>
            </w:r>
          </w:p>
        </w:tc>
      </w:tr>
      <w:tr w:rsidR="007632BD" w:rsidRPr="003C4E20" w14:paraId="7504538B" w14:textId="77777777" w:rsidTr="003C4E20">
        <w:tc>
          <w:tcPr>
            <w:tcW w:w="1468" w:type="pct"/>
            <w:vAlign w:val="center"/>
          </w:tcPr>
          <w:p w14:paraId="48500C0D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MZO</w:t>
            </w:r>
            <w:r w:rsidR="008F1534">
              <w:rPr>
                <w:sz w:val="20"/>
                <w:szCs w:val="20"/>
              </w:rPr>
              <w:t>M</w:t>
            </w:r>
          </w:p>
        </w:tc>
        <w:tc>
          <w:tcPr>
            <w:tcW w:w="3532" w:type="pct"/>
            <w:vAlign w:val="center"/>
          </w:tcPr>
          <w:p w14:paraId="41EB2557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Ministarstvo znanosti</w:t>
            </w:r>
            <w:r w:rsidR="002772DC">
              <w:rPr>
                <w:sz w:val="20"/>
                <w:szCs w:val="20"/>
              </w:rPr>
              <w:t xml:space="preserve">, </w:t>
            </w:r>
            <w:r w:rsidRPr="003C4E20">
              <w:rPr>
                <w:sz w:val="20"/>
                <w:szCs w:val="20"/>
              </w:rPr>
              <w:t>obrazovanja</w:t>
            </w:r>
            <w:r w:rsidR="002772DC">
              <w:rPr>
                <w:sz w:val="20"/>
                <w:szCs w:val="20"/>
              </w:rPr>
              <w:t xml:space="preserve"> i mladih</w:t>
            </w:r>
          </w:p>
        </w:tc>
      </w:tr>
      <w:tr w:rsidR="007632BD" w:rsidRPr="003C4E20" w14:paraId="6F85C92C" w14:textId="77777777" w:rsidTr="003C4E20">
        <w:tc>
          <w:tcPr>
            <w:tcW w:w="1468" w:type="pct"/>
            <w:vAlign w:val="center"/>
          </w:tcPr>
          <w:p w14:paraId="08924E4B" w14:textId="7FB91CD7" w:rsidR="00EC02DF" w:rsidRPr="003C4E20" w:rsidRDefault="00EC02DF" w:rsidP="003C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MRRFEU</w:t>
            </w:r>
          </w:p>
        </w:tc>
        <w:tc>
          <w:tcPr>
            <w:tcW w:w="3532" w:type="pct"/>
            <w:vAlign w:val="center"/>
          </w:tcPr>
          <w:p w14:paraId="6FD23D47" w14:textId="36692BFD" w:rsidR="00EC02DF" w:rsidRPr="003C4E20" w:rsidRDefault="00EC02DF" w:rsidP="003C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96E7A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nistarstvo r</w:t>
            </w:r>
            <w:r w:rsidR="00115E5A">
              <w:rPr>
                <w:sz w:val="20"/>
                <w:szCs w:val="20"/>
              </w:rPr>
              <w:t>egionalnoga razvoja i fondova Europske unije</w:t>
            </w:r>
          </w:p>
        </w:tc>
      </w:tr>
      <w:tr w:rsidR="007632BD" w:rsidRPr="003C4E20" w14:paraId="4BA3EF22" w14:textId="77777777" w:rsidTr="003C4E20">
        <w:tc>
          <w:tcPr>
            <w:tcW w:w="1468" w:type="pct"/>
            <w:vAlign w:val="center"/>
          </w:tcPr>
          <w:p w14:paraId="4205ECA3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NPOO</w:t>
            </w:r>
          </w:p>
        </w:tc>
        <w:tc>
          <w:tcPr>
            <w:tcW w:w="3532" w:type="pct"/>
            <w:vAlign w:val="center"/>
          </w:tcPr>
          <w:p w14:paraId="78540DD7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Nacionalni plan oporavka i otpornosti 2021.-2026.</w:t>
            </w:r>
          </w:p>
        </w:tc>
      </w:tr>
      <w:tr w:rsidR="007632BD" w:rsidRPr="003C4E20" w14:paraId="604C8ABB" w14:textId="77777777" w:rsidTr="003C4E20">
        <w:tc>
          <w:tcPr>
            <w:tcW w:w="1468" w:type="pct"/>
            <w:vAlign w:val="center"/>
          </w:tcPr>
          <w:p w14:paraId="69877BC3" w14:textId="247BCFEA" w:rsidR="007632BD" w:rsidRPr="003C4E20" w:rsidRDefault="007632BD" w:rsidP="003C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SAFU</w:t>
            </w:r>
          </w:p>
        </w:tc>
        <w:tc>
          <w:tcPr>
            <w:tcW w:w="3532" w:type="pct"/>
            <w:vAlign w:val="center"/>
          </w:tcPr>
          <w:p w14:paraId="0DA3CF18" w14:textId="29AC9DEB" w:rsidR="007632BD" w:rsidRPr="003C4E20" w:rsidRDefault="007632BD" w:rsidP="003C4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Središnja agencija za financiranje i ugovaranje</w:t>
            </w:r>
            <w:r w:rsidR="00115E5A">
              <w:rPr>
                <w:sz w:val="20"/>
                <w:szCs w:val="20"/>
              </w:rPr>
              <w:t xml:space="preserve"> programa i projekata Europske unije</w:t>
            </w:r>
          </w:p>
        </w:tc>
      </w:tr>
      <w:tr w:rsidR="007632BD" w:rsidRPr="003C4E20" w14:paraId="79EB6831" w14:textId="77777777" w:rsidTr="003C4E20">
        <w:tc>
          <w:tcPr>
            <w:tcW w:w="1468" w:type="pct"/>
            <w:vAlign w:val="center"/>
          </w:tcPr>
          <w:p w14:paraId="6B19D945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SEEA</w:t>
            </w:r>
          </w:p>
        </w:tc>
        <w:tc>
          <w:tcPr>
            <w:tcW w:w="3532" w:type="pct"/>
            <w:vAlign w:val="center"/>
          </w:tcPr>
          <w:p w14:paraId="59B117D0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Međunarodne smjernice ekonomsko-okolišnih računa</w:t>
            </w:r>
          </w:p>
        </w:tc>
      </w:tr>
      <w:tr w:rsidR="007632BD" w:rsidRPr="003C4E20" w14:paraId="3B01EA71" w14:textId="77777777" w:rsidTr="003C4E20">
        <w:tc>
          <w:tcPr>
            <w:tcW w:w="1468" w:type="pct"/>
            <w:vAlign w:val="center"/>
          </w:tcPr>
          <w:p w14:paraId="570913A4" w14:textId="77777777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SMOPHT</w:t>
            </w:r>
          </w:p>
        </w:tc>
        <w:tc>
          <w:tcPr>
            <w:tcW w:w="3532" w:type="pct"/>
            <w:vAlign w:val="center"/>
          </w:tcPr>
          <w:p w14:paraId="12434D87" w14:textId="0A0F7C0D" w:rsidR="003C4E20" w:rsidRPr="003C4E20" w:rsidRDefault="003C4E20" w:rsidP="003C4E20">
            <w:pPr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Strateški marketinški i operativni plan</w:t>
            </w:r>
            <w:r w:rsidR="00115E5A">
              <w:rPr>
                <w:sz w:val="20"/>
                <w:szCs w:val="20"/>
              </w:rPr>
              <w:t xml:space="preserve"> hrvatskog turizma</w:t>
            </w:r>
          </w:p>
        </w:tc>
      </w:tr>
    </w:tbl>
    <w:p w14:paraId="538BC5F2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3435A709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0955E11C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3EA9A4AC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0D1F287D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7F60FA41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466D8E51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73F99942" w14:textId="77777777" w:rsidR="003C4E20" w:rsidRDefault="003C4E20" w:rsidP="003C4E20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49795F07" w14:textId="77777777" w:rsidR="008D44BA" w:rsidRPr="003C4E20" w:rsidRDefault="008D44BA" w:rsidP="003C4E20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503F78AB" w14:textId="77777777" w:rsidR="003C4E20" w:rsidRDefault="003C4E20" w:rsidP="003C4E20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2E050BE4" w14:textId="77777777" w:rsidR="0079155F" w:rsidRDefault="0079155F" w:rsidP="003C4E20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12A60684" w14:textId="77777777" w:rsidR="0079155F" w:rsidRPr="003C4E20" w:rsidRDefault="0079155F" w:rsidP="003C4E20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0654C3E2" w14:textId="77777777" w:rsidR="003C4E20" w:rsidRPr="003C4E20" w:rsidRDefault="003C4E20" w:rsidP="003C4E20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7CEB64FA" w14:textId="77777777" w:rsidR="003C4E20" w:rsidRPr="003C4E20" w:rsidRDefault="003C4E20" w:rsidP="003764A7">
      <w:pPr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  <w:r w:rsidRPr="003C4E20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POPIS POSEBNIH CILJEVA I MJERA S OPISOM I PRIPADAJUĆIM POKAZATELJIMA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7"/>
        <w:gridCol w:w="3001"/>
      </w:tblGrid>
      <w:tr w:rsidR="003C4E20" w:rsidRPr="003C4E20" w14:paraId="342C9C93" w14:textId="77777777" w:rsidTr="003C4E20">
        <w:tc>
          <w:tcPr>
            <w:tcW w:w="5000" w:type="pct"/>
            <w:gridSpan w:val="3"/>
            <w:shd w:val="clear" w:color="auto" w:fill="002060"/>
          </w:tcPr>
          <w:p w14:paraId="6D8DCDA5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0" w:name="_Toc140856004"/>
            <w:bookmarkStart w:id="1" w:name="_Toc141982402"/>
            <w:r w:rsidRPr="003C4E20">
              <w:rPr>
                <w:rFonts w:eastAsiaTheme="majorEastAsia"/>
                <w:color w:val="2E74B5" w:themeColor="accent1" w:themeShade="BF"/>
                <w:sz w:val="28"/>
                <w:szCs w:val="32"/>
              </w:rPr>
              <w:t>Posebni cilj 1.</w:t>
            </w:r>
            <w:bookmarkEnd w:id="0"/>
            <w:bookmarkEnd w:id="1"/>
          </w:p>
          <w:p w14:paraId="74171279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2" w:name="_Toc140856005"/>
            <w:bookmarkStart w:id="3" w:name="_Toc141982403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>RAZVOJ VREMENSKI I PROSTORNO RAVNOMJERNIJE RASPOREĐENOG TURISTIČKOG PROMETA</w:t>
            </w:r>
            <w:bookmarkEnd w:id="2"/>
            <w:bookmarkEnd w:id="3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 xml:space="preserve"> </w:t>
            </w:r>
          </w:p>
        </w:tc>
      </w:tr>
      <w:tr w:rsidR="003C4E20" w:rsidRPr="003C4E20" w14:paraId="444EAEB2" w14:textId="77777777" w:rsidTr="003C4E20">
        <w:tc>
          <w:tcPr>
            <w:tcW w:w="1666" w:type="pct"/>
            <w:shd w:val="clear" w:color="auto" w:fill="DEEAF6" w:themeFill="accent1" w:themeFillTint="33"/>
          </w:tcPr>
          <w:p w14:paraId="2E7F8D8B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ishoda</w:t>
            </w:r>
          </w:p>
        </w:tc>
        <w:tc>
          <w:tcPr>
            <w:tcW w:w="1666" w:type="pct"/>
            <w:shd w:val="clear" w:color="auto" w:fill="DEEAF6" w:themeFill="accent1" w:themeFillTint="33"/>
          </w:tcPr>
          <w:p w14:paraId="6E65D4AD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Početna vrijednost pokazatelja ishoda 2019.</w:t>
            </w:r>
          </w:p>
        </w:tc>
        <w:tc>
          <w:tcPr>
            <w:tcW w:w="1668" w:type="pct"/>
            <w:shd w:val="clear" w:color="auto" w:fill="DEEAF6" w:themeFill="accent1" w:themeFillTint="33"/>
          </w:tcPr>
          <w:p w14:paraId="539CE01E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Ciljana vrijednost pokazatelja ishoda 2027.*</w:t>
            </w:r>
          </w:p>
        </w:tc>
      </w:tr>
      <w:tr w:rsidR="003C4E20" w:rsidRPr="003C4E20" w14:paraId="46DC708E" w14:textId="77777777" w:rsidTr="003C4E20">
        <w:tc>
          <w:tcPr>
            <w:tcW w:w="1666" w:type="pct"/>
            <w:vAlign w:val="center"/>
          </w:tcPr>
          <w:p w14:paraId="1990CDAA" w14:textId="77777777" w:rsidR="003C4E20" w:rsidRPr="003C4E20" w:rsidRDefault="009A2C6A" w:rsidP="003C4E20">
            <w:pPr>
              <w:jc w:val="center"/>
              <w:rPr>
                <w:sz w:val="20"/>
                <w:szCs w:val="20"/>
              </w:rPr>
            </w:pPr>
            <w:r w:rsidRPr="009A2C6A">
              <w:rPr>
                <w:sz w:val="20"/>
                <w:szCs w:val="20"/>
              </w:rPr>
              <w:t>OI.02.8.64</w:t>
            </w:r>
            <w:r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 xml:space="preserve">Udio noćenja izvan razdoblja od 1. 6. do 30. 9. </w:t>
            </w:r>
          </w:p>
        </w:tc>
        <w:tc>
          <w:tcPr>
            <w:tcW w:w="1666" w:type="pct"/>
            <w:vAlign w:val="center"/>
          </w:tcPr>
          <w:p w14:paraId="632EB4EB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16 %</w:t>
            </w:r>
          </w:p>
        </w:tc>
        <w:tc>
          <w:tcPr>
            <w:tcW w:w="1668" w:type="pct"/>
            <w:vAlign w:val="center"/>
          </w:tcPr>
          <w:p w14:paraId="11DF8420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26 %</w:t>
            </w:r>
          </w:p>
        </w:tc>
      </w:tr>
      <w:tr w:rsidR="003C4E20" w:rsidRPr="003C4E20" w14:paraId="2B812288" w14:textId="77777777" w:rsidTr="003C4E20">
        <w:tc>
          <w:tcPr>
            <w:tcW w:w="1666" w:type="pct"/>
            <w:vAlign w:val="center"/>
          </w:tcPr>
          <w:p w14:paraId="11D6C284" w14:textId="77777777" w:rsidR="003C4E20" w:rsidRPr="003C4E20" w:rsidRDefault="009A2C6A" w:rsidP="003C4E20">
            <w:pPr>
              <w:jc w:val="center"/>
              <w:rPr>
                <w:sz w:val="20"/>
                <w:szCs w:val="20"/>
              </w:rPr>
            </w:pPr>
            <w:r w:rsidRPr="009A2C6A">
              <w:rPr>
                <w:sz w:val="20"/>
                <w:szCs w:val="20"/>
              </w:rPr>
              <w:t>OI.02.8.65</w:t>
            </w:r>
            <w:r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>Udio noćenja izvan Jadranske Hrvatske</w:t>
            </w:r>
          </w:p>
        </w:tc>
        <w:tc>
          <w:tcPr>
            <w:tcW w:w="1666" w:type="pct"/>
            <w:vAlign w:val="center"/>
          </w:tcPr>
          <w:p w14:paraId="76F10E01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5,4 %</w:t>
            </w:r>
          </w:p>
        </w:tc>
        <w:tc>
          <w:tcPr>
            <w:tcW w:w="1668" w:type="pct"/>
            <w:vAlign w:val="center"/>
          </w:tcPr>
          <w:p w14:paraId="18B32437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9 %</w:t>
            </w:r>
          </w:p>
        </w:tc>
      </w:tr>
      <w:tr w:rsidR="003C4E20" w:rsidRPr="003C4E20" w14:paraId="7AC24162" w14:textId="77777777" w:rsidTr="003C4E20">
        <w:tc>
          <w:tcPr>
            <w:tcW w:w="1666" w:type="pct"/>
            <w:vAlign w:val="center"/>
          </w:tcPr>
          <w:p w14:paraId="14167900" w14:textId="41E77FA8" w:rsidR="003C4E20" w:rsidRPr="003C4E20" w:rsidRDefault="009A2C6A" w:rsidP="003C4E20">
            <w:pPr>
              <w:jc w:val="center"/>
              <w:rPr>
                <w:sz w:val="20"/>
                <w:szCs w:val="20"/>
              </w:rPr>
            </w:pPr>
            <w:r w:rsidRPr="009A2C6A">
              <w:rPr>
                <w:sz w:val="20"/>
                <w:szCs w:val="20"/>
              </w:rPr>
              <w:t>OI.02.8.66</w:t>
            </w:r>
            <w:r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>Udio JLS u I i II kategoriji indeksa turističke razvijenosti (ITR)</w:t>
            </w:r>
            <w:r w:rsidR="0012513F">
              <w:rPr>
                <w:sz w:val="20"/>
                <w:szCs w:val="20"/>
              </w:rPr>
              <w:t>**</w:t>
            </w:r>
          </w:p>
        </w:tc>
        <w:tc>
          <w:tcPr>
            <w:tcW w:w="1666" w:type="pct"/>
            <w:vAlign w:val="center"/>
          </w:tcPr>
          <w:p w14:paraId="3D2CB451" w14:textId="77777777" w:rsidR="003C4E20" w:rsidRPr="003C4E20" w:rsidRDefault="00A873B9" w:rsidP="003C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  <w:r w:rsidR="003C4E20" w:rsidRPr="003C4E20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668" w:type="pct"/>
            <w:vAlign w:val="center"/>
          </w:tcPr>
          <w:p w14:paraId="770E4D8E" w14:textId="77777777" w:rsidR="003C4E20" w:rsidRPr="003C4E20" w:rsidRDefault="00A873B9" w:rsidP="003C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C4E20" w:rsidRPr="003C4E20">
              <w:rPr>
                <w:sz w:val="20"/>
                <w:szCs w:val="20"/>
              </w:rPr>
              <w:t xml:space="preserve"> %</w:t>
            </w:r>
          </w:p>
        </w:tc>
      </w:tr>
    </w:tbl>
    <w:p w14:paraId="09535619" w14:textId="77777777" w:rsidR="003C4E20" w:rsidRDefault="003C4E20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 w:rsidRPr="003C4E20">
        <w:rPr>
          <w:rFonts w:ascii="Times New Roman" w:hAnsi="Times New Roman" w:cs="Times New Roman"/>
          <w:i/>
          <w:sz w:val="16"/>
          <w:szCs w:val="18"/>
        </w:rPr>
        <w:t xml:space="preserve">* Sukladno Nacionalnom planu razvoja održivog turizma do 2027. </w:t>
      </w:r>
    </w:p>
    <w:p w14:paraId="0317FC54" w14:textId="5484F086" w:rsidR="0012513F" w:rsidRPr="003C4E20" w:rsidRDefault="0012513F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 xml:space="preserve">** </w:t>
      </w:r>
      <w:r w:rsidRPr="0012513F">
        <w:rPr>
          <w:rFonts w:ascii="Times New Roman" w:hAnsi="Times New Roman" w:cs="Times New Roman"/>
          <w:i/>
          <w:sz w:val="16"/>
          <w:szCs w:val="18"/>
        </w:rPr>
        <w:t>Vrijednosti su iskazane sukladno trenutno važećoj metodologiji</w:t>
      </w:r>
      <w:r>
        <w:rPr>
          <w:rFonts w:ascii="Times New Roman" w:hAnsi="Times New Roman" w:cs="Times New Roman"/>
          <w:i/>
          <w:sz w:val="16"/>
          <w:szCs w:val="18"/>
        </w:rPr>
        <w:t xml:space="preserve"> izračuna pokazatelja</w:t>
      </w:r>
    </w:p>
    <w:p w14:paraId="5D1ABC8B" w14:textId="77777777" w:rsidR="003C4E20" w:rsidRPr="003C4E20" w:rsidRDefault="003C4E20" w:rsidP="003C4E20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99"/>
        <w:gridCol w:w="6017"/>
      </w:tblGrid>
      <w:tr w:rsidR="003C4E20" w:rsidRPr="003C4E20" w14:paraId="4B3186D6" w14:textId="77777777" w:rsidTr="1BBEE06B">
        <w:tc>
          <w:tcPr>
            <w:tcW w:w="5000" w:type="pct"/>
            <w:gridSpan w:val="2"/>
            <w:shd w:val="clear" w:color="auto" w:fill="BDD6EE" w:themeFill="accent1" w:themeFillTint="66"/>
          </w:tcPr>
          <w:p w14:paraId="65C01AED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4" w:name="_Toc140856006"/>
            <w:bookmarkStart w:id="5" w:name="_Toc141982404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1.1.</w:t>
            </w:r>
            <w:bookmarkEnd w:id="4"/>
            <w:bookmarkEnd w:id="5"/>
          </w:p>
          <w:p w14:paraId="15D5EEA9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6" w:name="_Toc140856007"/>
            <w:bookmarkStart w:id="7" w:name="_Toc141982405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Poticati razvoj turističkih proizvoda više dodane vrijednosti kroz ulaganja u javnu turističku infrastrukturu s naglaskom na razvoj posebnih oblika turizma</w:t>
            </w:r>
            <w:bookmarkEnd w:id="6"/>
            <w:bookmarkEnd w:id="7"/>
          </w:p>
        </w:tc>
      </w:tr>
      <w:tr w:rsidR="009D5E29" w:rsidRPr="003C4E20" w14:paraId="51E8DDD5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460E977C" w14:textId="77777777" w:rsidR="009D5E29" w:rsidRPr="003C4E20" w:rsidRDefault="009D5E29" w:rsidP="009D5E2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37" w:type="pct"/>
          </w:tcPr>
          <w:p w14:paraId="38D63E6C" w14:textId="77777777" w:rsidR="009D5E29" w:rsidRDefault="009D5E29" w:rsidP="00430988">
            <w:pPr>
              <w:tabs>
                <w:tab w:val="left" w:pos="1275"/>
              </w:tabs>
              <w:jc w:val="both"/>
              <w:rPr>
                <w:sz w:val="20"/>
                <w:szCs w:val="20"/>
              </w:rPr>
            </w:pPr>
            <w:r w:rsidRPr="007B5A0D">
              <w:rPr>
                <w:sz w:val="20"/>
                <w:szCs w:val="20"/>
              </w:rPr>
              <w:t xml:space="preserve">Razvojem turističke infrastrukture, strukturiranim razvojem proizvoda više dodane vrijednosti i razvojem posebnih oblika turizma poticat će se uravnoteženi i održivi razvoj turizma. Razvoj nove i unaprjeđenje postojeće javne infrastrukture bit će primarno usmjereni na poticanje izgradnje ili rekonstrukcije infrastrukture za razvoj </w:t>
            </w:r>
            <w:r w:rsidR="00300AC7">
              <w:rPr>
                <w:sz w:val="20"/>
                <w:szCs w:val="20"/>
              </w:rPr>
              <w:t>posebnih oblik</w:t>
            </w:r>
            <w:r w:rsidR="00D65D8D">
              <w:rPr>
                <w:sz w:val="20"/>
                <w:szCs w:val="20"/>
              </w:rPr>
              <w:t>a</w:t>
            </w:r>
            <w:r w:rsidR="00300AC7">
              <w:rPr>
                <w:sz w:val="20"/>
                <w:szCs w:val="20"/>
              </w:rPr>
              <w:t xml:space="preserve"> turizma. </w:t>
            </w:r>
            <w:r w:rsidR="00721091" w:rsidRPr="00721091">
              <w:rPr>
                <w:sz w:val="20"/>
                <w:szCs w:val="20"/>
              </w:rPr>
              <w:t xml:space="preserve">Odabir projekata </w:t>
            </w:r>
            <w:r w:rsidR="00721091">
              <w:rPr>
                <w:sz w:val="20"/>
                <w:szCs w:val="20"/>
              </w:rPr>
              <w:t>temeljit će se</w:t>
            </w:r>
            <w:r w:rsidR="00721091" w:rsidRPr="00721091">
              <w:rPr>
                <w:sz w:val="20"/>
                <w:szCs w:val="20"/>
              </w:rPr>
              <w:t xml:space="preserve"> na indeksu turističke razvijenosti te doprinosu mogućnosti produljenja sezone i distribuciji turista na slabije razvijena turistička područja</w:t>
            </w:r>
            <w:r w:rsidR="00300AC7">
              <w:rPr>
                <w:sz w:val="20"/>
                <w:szCs w:val="20"/>
              </w:rPr>
              <w:t>.</w:t>
            </w:r>
          </w:p>
          <w:p w14:paraId="0E258EED" w14:textId="77777777" w:rsidR="005D193A" w:rsidRPr="003C4E20" w:rsidRDefault="005D193A" w:rsidP="00430988">
            <w:pPr>
              <w:tabs>
                <w:tab w:val="left" w:pos="1275"/>
              </w:tabs>
              <w:jc w:val="both"/>
              <w:rPr>
                <w:sz w:val="20"/>
                <w:szCs w:val="20"/>
              </w:rPr>
            </w:pPr>
          </w:p>
        </w:tc>
      </w:tr>
      <w:tr w:rsidR="009D5E29" w:rsidRPr="003C4E20" w14:paraId="7C951786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6D931602" w14:textId="77777777" w:rsidR="009D5E29" w:rsidRPr="003C4E20" w:rsidRDefault="009D5E29" w:rsidP="009D5E2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37" w:type="pct"/>
          </w:tcPr>
          <w:p w14:paraId="3EC03E91" w14:textId="77777777" w:rsidR="009D5E29" w:rsidRDefault="009D5E29" w:rsidP="009D5E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ugovorenih projekata javne turističke infrastrukture</w:t>
            </w:r>
          </w:p>
          <w:p w14:paraId="702D139E" w14:textId="66612778" w:rsidR="009D5E29" w:rsidRDefault="009D5E29" w:rsidP="009D5E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</w:t>
            </w:r>
            <w:r w:rsidR="00304D89">
              <w:rPr>
                <w:sz w:val="20"/>
                <w:szCs w:val="20"/>
              </w:rPr>
              <w:t xml:space="preserve">– </w:t>
            </w:r>
            <w:r w:rsidR="00DF142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projekata</w:t>
            </w:r>
          </w:p>
          <w:p w14:paraId="0C569787" w14:textId="3F710777" w:rsidR="009D5E29" w:rsidRDefault="009D5E29" w:rsidP="009D5E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</w:t>
            </w:r>
            <w:r w:rsidR="00304D89">
              <w:rPr>
                <w:sz w:val="20"/>
                <w:szCs w:val="20"/>
              </w:rPr>
              <w:t xml:space="preserve">– </w:t>
            </w:r>
            <w:r w:rsidR="00DF142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projekata</w:t>
            </w:r>
          </w:p>
          <w:p w14:paraId="70FFC4B8" w14:textId="77777777" w:rsidR="009D5E29" w:rsidRDefault="009D5E29" w:rsidP="009D5E29">
            <w:pPr>
              <w:jc w:val="both"/>
              <w:rPr>
                <w:sz w:val="20"/>
                <w:szCs w:val="20"/>
              </w:rPr>
            </w:pPr>
          </w:p>
          <w:p w14:paraId="1F2ACD44" w14:textId="33AD5601" w:rsidR="00A873B9" w:rsidRPr="00A873B9" w:rsidRDefault="00A873B9" w:rsidP="00A873B9">
            <w:pPr>
              <w:jc w:val="both"/>
              <w:rPr>
                <w:sz w:val="20"/>
                <w:szCs w:val="20"/>
              </w:rPr>
            </w:pPr>
            <w:r w:rsidRPr="00A873B9">
              <w:rPr>
                <w:sz w:val="20"/>
                <w:szCs w:val="20"/>
              </w:rPr>
              <w:t>Broj realiziranih projekata javne turističke infrastrukture</w:t>
            </w:r>
            <w:r w:rsidR="009B257F">
              <w:rPr>
                <w:rStyle w:val="FootnoteReference"/>
                <w:sz w:val="20"/>
                <w:szCs w:val="20"/>
              </w:rPr>
              <w:footnoteReference w:id="2"/>
            </w:r>
          </w:p>
          <w:p w14:paraId="48117E72" w14:textId="0F0390F4" w:rsidR="00A873B9" w:rsidRPr="00A873B9" w:rsidRDefault="00A873B9" w:rsidP="00A873B9">
            <w:pPr>
              <w:jc w:val="both"/>
              <w:rPr>
                <w:sz w:val="20"/>
                <w:szCs w:val="20"/>
              </w:rPr>
            </w:pPr>
            <w:r w:rsidRPr="00A873B9">
              <w:rPr>
                <w:sz w:val="20"/>
                <w:szCs w:val="20"/>
              </w:rPr>
              <w:t>2026</w:t>
            </w:r>
            <w:r w:rsidR="00F3596B">
              <w:rPr>
                <w:sz w:val="20"/>
                <w:szCs w:val="20"/>
              </w:rPr>
              <w:t>.</w:t>
            </w:r>
            <w:r w:rsidRPr="00A873B9">
              <w:rPr>
                <w:sz w:val="20"/>
                <w:szCs w:val="20"/>
              </w:rPr>
              <w:t xml:space="preserve"> </w:t>
            </w:r>
            <w:r w:rsidR="00304D89">
              <w:rPr>
                <w:sz w:val="20"/>
                <w:szCs w:val="20"/>
              </w:rPr>
              <w:t xml:space="preserve">– </w:t>
            </w:r>
            <w:r w:rsidRPr="00A873B9">
              <w:rPr>
                <w:sz w:val="20"/>
                <w:szCs w:val="20"/>
              </w:rPr>
              <w:t>25</w:t>
            </w:r>
          </w:p>
          <w:p w14:paraId="622CC5F6" w14:textId="4A6090E7" w:rsidR="00A873B9" w:rsidRPr="00A873B9" w:rsidRDefault="00A873B9" w:rsidP="00A873B9">
            <w:pPr>
              <w:jc w:val="both"/>
              <w:rPr>
                <w:sz w:val="20"/>
                <w:szCs w:val="20"/>
              </w:rPr>
            </w:pPr>
            <w:r w:rsidRPr="00A873B9">
              <w:rPr>
                <w:sz w:val="20"/>
                <w:szCs w:val="20"/>
              </w:rPr>
              <w:t>2027</w:t>
            </w:r>
            <w:r w:rsidR="00F3596B">
              <w:rPr>
                <w:sz w:val="20"/>
                <w:szCs w:val="20"/>
              </w:rPr>
              <w:t>.</w:t>
            </w:r>
            <w:r w:rsidR="00304D89">
              <w:rPr>
                <w:sz w:val="20"/>
                <w:szCs w:val="20"/>
              </w:rPr>
              <w:t xml:space="preserve"> – </w:t>
            </w:r>
            <w:r w:rsidRPr="00A873B9">
              <w:rPr>
                <w:sz w:val="20"/>
                <w:szCs w:val="20"/>
              </w:rPr>
              <w:t>0</w:t>
            </w:r>
          </w:p>
          <w:p w14:paraId="6AB35371" w14:textId="77777777" w:rsidR="00A873B9" w:rsidRPr="003C4E20" w:rsidRDefault="00A873B9" w:rsidP="009D5E29">
            <w:pPr>
              <w:jc w:val="both"/>
              <w:rPr>
                <w:sz w:val="20"/>
                <w:szCs w:val="20"/>
              </w:rPr>
            </w:pPr>
          </w:p>
        </w:tc>
      </w:tr>
      <w:tr w:rsidR="009D5E29" w:rsidRPr="003C4E20" w14:paraId="5A20A643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7EB46B15" w14:textId="77777777" w:rsidR="009D5E29" w:rsidRPr="003C4E20" w:rsidRDefault="009D5E29" w:rsidP="009D5E2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37" w:type="pct"/>
          </w:tcPr>
          <w:p w14:paraId="6A7D0B1F" w14:textId="70A2228F" w:rsidR="009D5E29" w:rsidRPr="00896E7A" w:rsidRDefault="00C77E82" w:rsidP="009D5E29">
            <w:pPr>
              <w:tabs>
                <w:tab w:val="left" w:pos="21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199.733.715,00 </w:t>
            </w:r>
            <w:r w:rsidR="00D37CC2">
              <w:rPr>
                <w:sz w:val="20"/>
                <w:szCs w:val="20"/>
              </w:rPr>
              <w:t>EUR</w:t>
            </w:r>
            <w:r w:rsidR="009D5E29" w:rsidRPr="003C4E20">
              <w:rPr>
                <w:sz w:val="20"/>
                <w:szCs w:val="20"/>
              </w:rPr>
              <w:tab/>
            </w:r>
            <w:r w:rsidR="009D5E29" w:rsidRPr="00896E7A">
              <w:rPr>
                <w:sz w:val="20"/>
                <w:szCs w:val="20"/>
              </w:rPr>
              <w:t xml:space="preserve"> </w:t>
            </w:r>
          </w:p>
        </w:tc>
      </w:tr>
      <w:tr w:rsidR="009D5E29" w:rsidRPr="003C4E20" w14:paraId="6049C219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319737CD" w14:textId="77777777" w:rsidR="009D5E29" w:rsidRPr="003C4E20" w:rsidRDefault="009D5E29" w:rsidP="009D5E2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37" w:type="pct"/>
          </w:tcPr>
          <w:p w14:paraId="114476B0" w14:textId="77777777" w:rsidR="009D5E29" w:rsidRDefault="009D5E29" w:rsidP="009D5E2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A587061 Ulaganja u turističku infrastrukturu u funkciji razvoja posebnih oblika turizma</w:t>
            </w:r>
          </w:p>
          <w:p w14:paraId="0A89EECB" w14:textId="46E7C138" w:rsidR="009D5E29" w:rsidRDefault="009D5E29" w:rsidP="009D5E2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 – 30.</w:t>
            </w:r>
            <w:r w:rsidR="001813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80.000,00 EUR</w:t>
            </w:r>
            <w:r w:rsidR="00695BC1">
              <w:rPr>
                <w:sz w:val="20"/>
                <w:szCs w:val="20"/>
              </w:rPr>
              <w:t xml:space="preserve"> (izvor 581)</w:t>
            </w:r>
            <w:r w:rsidR="00452ED5">
              <w:rPr>
                <w:sz w:val="20"/>
                <w:szCs w:val="20"/>
              </w:rPr>
              <w:t>, 500.000,00 (izvor 11)</w:t>
            </w:r>
          </w:p>
          <w:p w14:paraId="689AA5B4" w14:textId="77777777" w:rsidR="009D5E29" w:rsidRDefault="009D5E29" w:rsidP="009D5E2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2027. – 500.000,00 EUR</w:t>
            </w:r>
            <w:r w:rsidR="00FD20D9">
              <w:rPr>
                <w:sz w:val="20"/>
                <w:szCs w:val="20"/>
              </w:rPr>
              <w:t xml:space="preserve"> (</w:t>
            </w:r>
            <w:r w:rsidR="00DD1DB1">
              <w:rPr>
                <w:sz w:val="20"/>
                <w:szCs w:val="20"/>
              </w:rPr>
              <w:t>izvor 11)</w:t>
            </w:r>
          </w:p>
          <w:p w14:paraId="0FD3E0EE" w14:textId="77777777" w:rsidR="00047C5F" w:rsidRDefault="00047C5F" w:rsidP="009D5E29">
            <w:pPr>
              <w:contextualSpacing/>
              <w:jc w:val="both"/>
              <w:rPr>
                <w:sz w:val="20"/>
                <w:szCs w:val="20"/>
              </w:rPr>
            </w:pPr>
          </w:p>
          <w:p w14:paraId="4E68CB93" w14:textId="77777777" w:rsidR="009D5E29" w:rsidRDefault="009D5E29" w:rsidP="009D5E2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A761044 Fond za turizam</w:t>
            </w:r>
          </w:p>
          <w:p w14:paraId="25569A53" w14:textId="77777777" w:rsidR="009D5E29" w:rsidRDefault="009D5E29" w:rsidP="009D5E2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 – 3</w:t>
            </w:r>
            <w:r w:rsidR="00F0448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.000.000,00 EUR</w:t>
            </w:r>
            <w:r w:rsidR="00DD1DB1">
              <w:rPr>
                <w:sz w:val="20"/>
                <w:szCs w:val="20"/>
              </w:rPr>
              <w:t xml:space="preserve"> (izvor 43)</w:t>
            </w:r>
          </w:p>
          <w:p w14:paraId="066B266A" w14:textId="77777777" w:rsidR="009D5E29" w:rsidRDefault="009D5E29" w:rsidP="009D5E2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2027. – 7.000.000,00 EUR</w:t>
            </w:r>
            <w:r w:rsidR="00DD1DB1">
              <w:rPr>
                <w:sz w:val="20"/>
                <w:szCs w:val="20"/>
              </w:rPr>
              <w:t xml:space="preserve"> (izvor 43)</w:t>
            </w:r>
          </w:p>
          <w:p w14:paraId="57AD7631" w14:textId="77777777" w:rsidR="0094432D" w:rsidRDefault="0094432D" w:rsidP="009D5E29">
            <w:pPr>
              <w:contextualSpacing/>
              <w:jc w:val="both"/>
              <w:rPr>
                <w:sz w:val="20"/>
                <w:szCs w:val="20"/>
              </w:rPr>
            </w:pPr>
          </w:p>
          <w:p w14:paraId="349C0CCB" w14:textId="77777777" w:rsidR="00721091" w:rsidRDefault="0094432D" w:rsidP="009D5E29">
            <w:pPr>
              <w:contextualSpacing/>
              <w:jc w:val="both"/>
              <w:rPr>
                <w:sz w:val="20"/>
                <w:szCs w:val="20"/>
              </w:rPr>
            </w:pPr>
            <w:r w:rsidRPr="0094432D">
              <w:rPr>
                <w:sz w:val="20"/>
                <w:szCs w:val="20"/>
              </w:rPr>
              <w:t>A916035 Razvoj održivog, inovativnog i otpornog turizma – NPOO A916035.03 Regionalna diverzifikacija i specijalizacija hrvatskoga turizma</w:t>
            </w:r>
            <w:r w:rsidR="00A873B9">
              <w:rPr>
                <w:sz w:val="20"/>
                <w:szCs w:val="20"/>
              </w:rPr>
              <w:t xml:space="preserve"> </w:t>
            </w:r>
            <w:r w:rsidR="00A873B9" w:rsidRPr="00A873B9">
              <w:rPr>
                <w:sz w:val="20"/>
                <w:szCs w:val="20"/>
              </w:rPr>
              <w:t>– Investicija 1 – sve grupe</w:t>
            </w:r>
          </w:p>
          <w:p w14:paraId="49F6D2CC" w14:textId="18D15712" w:rsidR="00D5364B" w:rsidRDefault="002E6620" w:rsidP="009D5E2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– </w:t>
            </w:r>
            <w:r w:rsidR="003B6B6C">
              <w:rPr>
                <w:sz w:val="20"/>
                <w:szCs w:val="20"/>
              </w:rPr>
              <w:t>83.993.715</w:t>
            </w:r>
            <w:r w:rsidR="009E2128">
              <w:rPr>
                <w:sz w:val="20"/>
                <w:szCs w:val="20"/>
              </w:rPr>
              <w:t>,00</w:t>
            </w:r>
            <w:r w:rsidR="53A1624E" w:rsidRPr="1BBEE06B">
              <w:rPr>
                <w:sz w:val="20"/>
                <w:szCs w:val="20"/>
              </w:rPr>
              <w:t xml:space="preserve"> EUR</w:t>
            </w:r>
            <w:r w:rsidR="00DD1DB1">
              <w:rPr>
                <w:sz w:val="20"/>
                <w:szCs w:val="20"/>
              </w:rPr>
              <w:t xml:space="preserve"> (izvor 581</w:t>
            </w:r>
            <w:r w:rsidR="00695BC1">
              <w:rPr>
                <w:sz w:val="20"/>
                <w:szCs w:val="20"/>
              </w:rPr>
              <w:t>)</w:t>
            </w:r>
          </w:p>
          <w:p w14:paraId="0028DEB8" w14:textId="726667B8" w:rsidR="00046D5B" w:rsidRDefault="002E6620" w:rsidP="009D5E2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– </w:t>
            </w:r>
            <w:r w:rsidR="00640730">
              <w:rPr>
                <w:sz w:val="20"/>
                <w:szCs w:val="20"/>
              </w:rPr>
              <w:t>0</w:t>
            </w:r>
          </w:p>
          <w:p w14:paraId="18E04A84" w14:textId="77777777" w:rsidR="0045031A" w:rsidRDefault="0045031A" w:rsidP="009D5E29">
            <w:pPr>
              <w:contextualSpacing/>
              <w:jc w:val="both"/>
              <w:rPr>
                <w:sz w:val="20"/>
                <w:szCs w:val="20"/>
              </w:rPr>
            </w:pPr>
          </w:p>
          <w:p w14:paraId="5D9F7279" w14:textId="164F8C65" w:rsidR="0045031A" w:rsidRDefault="0045031A" w:rsidP="009D5E2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K680062 Program konkurentnost i kohezija 2021.-2027.</w:t>
            </w:r>
          </w:p>
          <w:p w14:paraId="011634EA" w14:textId="70B00711" w:rsidR="0045031A" w:rsidRDefault="002E6620" w:rsidP="009D5E2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– </w:t>
            </w:r>
            <w:r w:rsidR="00FB7FB8">
              <w:rPr>
                <w:sz w:val="20"/>
                <w:szCs w:val="20"/>
              </w:rPr>
              <w:t xml:space="preserve">10.560.000,00 </w:t>
            </w:r>
            <w:r w:rsidR="00DF1421">
              <w:rPr>
                <w:sz w:val="20"/>
                <w:szCs w:val="20"/>
              </w:rPr>
              <w:t xml:space="preserve">EUR </w:t>
            </w:r>
            <w:r w:rsidR="0045031A">
              <w:rPr>
                <w:sz w:val="20"/>
                <w:szCs w:val="20"/>
              </w:rPr>
              <w:t>(izvor 5</w:t>
            </w:r>
            <w:r w:rsidR="00122921">
              <w:rPr>
                <w:sz w:val="20"/>
                <w:szCs w:val="20"/>
              </w:rPr>
              <w:t>6</w:t>
            </w:r>
            <w:r w:rsidR="0045031A">
              <w:rPr>
                <w:sz w:val="20"/>
                <w:szCs w:val="20"/>
              </w:rPr>
              <w:t>3)</w:t>
            </w:r>
          </w:p>
          <w:p w14:paraId="1AF53FC9" w14:textId="1E6C4EF8" w:rsidR="0045031A" w:rsidRDefault="002E6620" w:rsidP="009D5E2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– </w:t>
            </w:r>
            <w:r w:rsidR="00FB7FB8">
              <w:rPr>
                <w:sz w:val="20"/>
                <w:szCs w:val="20"/>
              </w:rPr>
              <w:t>30.000.000</w:t>
            </w:r>
            <w:r w:rsidR="00DF1421">
              <w:rPr>
                <w:sz w:val="20"/>
                <w:szCs w:val="20"/>
              </w:rPr>
              <w:t>,00 EUR (izvor 5</w:t>
            </w:r>
            <w:r w:rsidR="00122921">
              <w:rPr>
                <w:sz w:val="20"/>
                <w:szCs w:val="20"/>
              </w:rPr>
              <w:t>6</w:t>
            </w:r>
            <w:r w:rsidR="00DF1421">
              <w:rPr>
                <w:sz w:val="20"/>
                <w:szCs w:val="20"/>
              </w:rPr>
              <w:t>3)</w:t>
            </w:r>
          </w:p>
          <w:p w14:paraId="5CD130CB" w14:textId="6518E544" w:rsidR="0078376B" w:rsidRPr="003C4E20" w:rsidRDefault="0078376B" w:rsidP="009D5E2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D5E29" w:rsidRPr="003C4E20" w14:paraId="26E54965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08A81792" w14:textId="77777777" w:rsidR="009D5E29" w:rsidRPr="003C4E20" w:rsidRDefault="009D5E29" w:rsidP="009D5E2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37" w:type="pct"/>
          </w:tcPr>
          <w:p w14:paraId="339CF164" w14:textId="77777777" w:rsidR="009D5E29" w:rsidRPr="00896E7A" w:rsidRDefault="009D5E29" w:rsidP="009D5E29">
            <w:pPr>
              <w:jc w:val="both"/>
              <w:rPr>
                <w:sz w:val="20"/>
                <w:szCs w:val="20"/>
              </w:rPr>
            </w:pPr>
            <w:r w:rsidRPr="00896E7A">
              <w:rPr>
                <w:sz w:val="20"/>
                <w:szCs w:val="20"/>
              </w:rPr>
              <w:t>MINTS</w:t>
            </w:r>
          </w:p>
        </w:tc>
      </w:tr>
      <w:tr w:rsidR="009D5E29" w:rsidRPr="003C4E20" w14:paraId="2006FDB1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453D66C8" w14:textId="77777777" w:rsidR="009D5E29" w:rsidRPr="003C4E20" w:rsidRDefault="009D5E29" w:rsidP="009D5E2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37" w:type="pct"/>
          </w:tcPr>
          <w:p w14:paraId="5F9CDE3F" w14:textId="50AB9370" w:rsidR="009D5E29" w:rsidRPr="00DE285A" w:rsidRDefault="00D0481A" w:rsidP="009D5E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MRRFEU</w:t>
            </w:r>
            <w:r w:rsidR="00DF1421">
              <w:rPr>
                <w:sz w:val="20"/>
                <w:szCs w:val="20"/>
              </w:rPr>
              <w:t xml:space="preserve">, </w:t>
            </w:r>
            <w:r w:rsidR="009D5E29" w:rsidRPr="005F120F">
              <w:rPr>
                <w:sz w:val="20"/>
                <w:szCs w:val="20"/>
              </w:rPr>
              <w:t>turističk</w:t>
            </w:r>
            <w:r w:rsidR="009B257F">
              <w:rPr>
                <w:sz w:val="20"/>
                <w:szCs w:val="20"/>
              </w:rPr>
              <w:t>e</w:t>
            </w:r>
            <w:r w:rsidR="009D5E29" w:rsidRPr="005F120F">
              <w:rPr>
                <w:sz w:val="20"/>
                <w:szCs w:val="20"/>
              </w:rPr>
              <w:t xml:space="preserve"> zajednic</w:t>
            </w:r>
            <w:r w:rsidR="009B257F">
              <w:rPr>
                <w:sz w:val="20"/>
                <w:szCs w:val="20"/>
              </w:rPr>
              <w:t>e</w:t>
            </w:r>
            <w:r w:rsidR="009D5E29" w:rsidRPr="005F120F">
              <w:rPr>
                <w:sz w:val="20"/>
                <w:szCs w:val="20"/>
              </w:rPr>
              <w:t xml:space="preserve">, </w:t>
            </w:r>
            <w:r w:rsidR="00115E5A" w:rsidRPr="003C4E20">
              <w:rPr>
                <w:sz w:val="20"/>
                <w:szCs w:val="20"/>
              </w:rPr>
              <w:t>JLP(R)S</w:t>
            </w:r>
            <w:r w:rsidR="009D5E29" w:rsidRPr="005F120F">
              <w:rPr>
                <w:sz w:val="20"/>
                <w:szCs w:val="20"/>
              </w:rPr>
              <w:t xml:space="preserve">, javne ustanove, pravne osobe kojima je osnivač ili većinski vlasnik Republika Hrvatska ili </w:t>
            </w:r>
            <w:r w:rsidR="00115E5A" w:rsidRPr="003C4E20">
              <w:rPr>
                <w:sz w:val="20"/>
                <w:szCs w:val="20"/>
              </w:rPr>
              <w:t>JLP(R)S</w:t>
            </w:r>
            <w:r w:rsidR="0094432D">
              <w:rPr>
                <w:sz w:val="20"/>
                <w:szCs w:val="20"/>
              </w:rPr>
              <w:t>, SAFU</w:t>
            </w:r>
          </w:p>
        </w:tc>
      </w:tr>
      <w:tr w:rsidR="009D5E29" w:rsidRPr="003C4E20" w14:paraId="3E417250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473F2ADE" w14:textId="77777777" w:rsidR="009D5E29" w:rsidRPr="003C4E20" w:rsidRDefault="009D5E29" w:rsidP="009D5E2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Oznaka mjere </w:t>
            </w:r>
          </w:p>
        </w:tc>
        <w:tc>
          <w:tcPr>
            <w:tcW w:w="3337" w:type="pct"/>
          </w:tcPr>
          <w:p w14:paraId="5D5C6FFF" w14:textId="77777777" w:rsidR="009D5E29" w:rsidRPr="003C4E20" w:rsidRDefault="009D5E29" w:rsidP="009D5E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</w:tbl>
    <w:p w14:paraId="6FCB3762" w14:textId="77777777" w:rsidR="00986F47" w:rsidRPr="005276E2" w:rsidRDefault="00986F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99"/>
        <w:gridCol w:w="6017"/>
      </w:tblGrid>
      <w:tr w:rsidR="003C4E20" w:rsidRPr="003C4E20" w14:paraId="7F660E3A" w14:textId="77777777" w:rsidTr="1BBEE06B">
        <w:tc>
          <w:tcPr>
            <w:tcW w:w="5000" w:type="pct"/>
            <w:gridSpan w:val="2"/>
            <w:shd w:val="clear" w:color="auto" w:fill="BDD6EE" w:themeFill="accent1" w:themeFillTint="66"/>
          </w:tcPr>
          <w:p w14:paraId="6218A003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8" w:name="_Toc140856008"/>
            <w:bookmarkStart w:id="9" w:name="_Toc141982406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1.2.</w:t>
            </w:r>
            <w:bookmarkEnd w:id="8"/>
            <w:bookmarkEnd w:id="9"/>
          </w:p>
          <w:p w14:paraId="65BF8534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0" w:name="_Toc140856009"/>
            <w:bookmarkStart w:id="11" w:name="_Toc141982407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Podrška ulaganjima poduzetnika za razvoj održivog turizma</w:t>
            </w:r>
            <w:bookmarkEnd w:id="10"/>
            <w:bookmarkEnd w:id="11"/>
          </w:p>
        </w:tc>
      </w:tr>
      <w:tr w:rsidR="005B7BA8" w:rsidRPr="003C4E20" w14:paraId="2D3B8DD0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093CCE52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37" w:type="pct"/>
          </w:tcPr>
          <w:p w14:paraId="7CC3CE04" w14:textId="77777777" w:rsidR="00255E58" w:rsidRPr="00896E7A" w:rsidRDefault="617D41B5" w:rsidP="1BBEE06B">
            <w:pPr>
              <w:jc w:val="both"/>
              <w:rPr>
                <w:rFonts w:cstheme="minorHAnsi"/>
                <w:sz w:val="20"/>
                <w:szCs w:val="20"/>
              </w:rPr>
            </w:pPr>
            <w:r w:rsidRPr="1BBEE06B">
              <w:rPr>
                <w:color w:val="000000" w:themeColor="text1"/>
                <w:sz w:val="20"/>
                <w:szCs w:val="20"/>
              </w:rPr>
              <w:t xml:space="preserve">Mjera obuhvaća </w:t>
            </w:r>
            <w:r w:rsidR="4242402A" w:rsidRPr="1BBEE06B">
              <w:rPr>
                <w:color w:val="000000" w:themeColor="text1"/>
                <w:sz w:val="20"/>
                <w:szCs w:val="20"/>
              </w:rPr>
              <w:t>ulaganja</w:t>
            </w:r>
            <w:r w:rsidR="00A63C22">
              <w:rPr>
                <w:color w:val="000000" w:themeColor="text1"/>
                <w:sz w:val="20"/>
                <w:szCs w:val="20"/>
              </w:rPr>
              <w:t xml:space="preserve"> i podršku investicijama koje</w:t>
            </w:r>
            <w:r w:rsidR="4242402A" w:rsidRPr="1BBEE06B">
              <w:rPr>
                <w:color w:val="000000" w:themeColor="text1"/>
                <w:sz w:val="20"/>
                <w:szCs w:val="20"/>
              </w:rPr>
              <w:t xml:space="preserve"> doprinose ciljevima zelene</w:t>
            </w:r>
            <w:r w:rsidRPr="1BBEE06B">
              <w:rPr>
                <w:color w:val="000000" w:themeColor="text1"/>
                <w:sz w:val="20"/>
                <w:szCs w:val="20"/>
              </w:rPr>
              <w:t xml:space="preserve"> i digitalne</w:t>
            </w:r>
            <w:r w:rsidR="4242402A" w:rsidRPr="1BBEE06B">
              <w:rPr>
                <w:color w:val="000000" w:themeColor="text1"/>
                <w:sz w:val="20"/>
                <w:szCs w:val="20"/>
              </w:rPr>
              <w:t xml:space="preserve"> tranzicije, kvaliteti </w:t>
            </w:r>
            <w:r w:rsidRPr="1BBEE06B">
              <w:rPr>
                <w:color w:val="000000" w:themeColor="text1"/>
                <w:sz w:val="20"/>
                <w:szCs w:val="20"/>
              </w:rPr>
              <w:t xml:space="preserve">i razvoju inovativnih </w:t>
            </w:r>
            <w:r w:rsidR="4242402A" w:rsidRPr="1BBEE06B">
              <w:rPr>
                <w:color w:val="000000" w:themeColor="text1"/>
                <w:sz w:val="20"/>
                <w:szCs w:val="20"/>
              </w:rPr>
              <w:t>turističkih proizvoda i usluga te pojačanom rastu i konkurentnosti poduzetnika i rezultiraju diverzifikacijom turističke ponude, produljenjem turističke sezone, s</w:t>
            </w:r>
            <w:r w:rsidRPr="1BBEE06B">
              <w:rPr>
                <w:color w:val="000000" w:themeColor="text1"/>
                <w:sz w:val="20"/>
                <w:szCs w:val="20"/>
              </w:rPr>
              <w:t>manjenjem prekomjernog turizma i održivim poslovanjem</w:t>
            </w:r>
            <w:r w:rsidRPr="00896E7A">
              <w:rPr>
                <w:sz w:val="20"/>
                <w:szCs w:val="20"/>
              </w:rPr>
              <w:t xml:space="preserve">. </w:t>
            </w:r>
          </w:p>
          <w:p w14:paraId="7EC3726D" w14:textId="173803BA" w:rsidR="00255E58" w:rsidRPr="009E2128" w:rsidRDefault="00255E58" w:rsidP="00255E58">
            <w:pPr>
              <w:jc w:val="both"/>
              <w:rPr>
                <w:sz w:val="20"/>
                <w:szCs w:val="20"/>
              </w:rPr>
            </w:pPr>
            <w:r w:rsidRPr="009E2128">
              <w:rPr>
                <w:sz w:val="20"/>
                <w:szCs w:val="20"/>
              </w:rPr>
              <w:t xml:space="preserve">Provodit će se aktivnosti na provedbi Zakona o strateškim investicijskim projektima Republike Hrvatske </w:t>
            </w:r>
            <w:r w:rsidR="005521B8">
              <w:rPr>
                <w:sz w:val="20"/>
                <w:szCs w:val="20"/>
              </w:rPr>
              <w:t>(„Narodne novine</w:t>
            </w:r>
            <w:r w:rsidR="00115E5A">
              <w:rPr>
                <w:sz w:val="20"/>
                <w:szCs w:val="20"/>
              </w:rPr>
              <w:t>“</w:t>
            </w:r>
            <w:r w:rsidR="005521B8">
              <w:rPr>
                <w:sz w:val="20"/>
                <w:szCs w:val="20"/>
              </w:rPr>
              <w:t xml:space="preserve">, br. 29/18. i 114/18.) </w:t>
            </w:r>
            <w:r w:rsidRPr="009E2128">
              <w:rPr>
                <w:sz w:val="20"/>
                <w:szCs w:val="20"/>
              </w:rPr>
              <w:t xml:space="preserve">za projekte koji su u </w:t>
            </w:r>
            <w:r w:rsidR="007458CD">
              <w:rPr>
                <w:sz w:val="20"/>
                <w:szCs w:val="20"/>
              </w:rPr>
              <w:t xml:space="preserve">sektorskoj </w:t>
            </w:r>
            <w:r w:rsidRPr="009E2128">
              <w:rPr>
                <w:sz w:val="20"/>
                <w:szCs w:val="20"/>
              </w:rPr>
              <w:t>nadležnosti</w:t>
            </w:r>
            <w:r w:rsidR="007632BD">
              <w:rPr>
                <w:sz w:val="20"/>
                <w:szCs w:val="20"/>
              </w:rPr>
              <w:t xml:space="preserve"> MINTS</w:t>
            </w:r>
            <w:r w:rsidR="007458CD">
              <w:rPr>
                <w:sz w:val="20"/>
                <w:szCs w:val="20"/>
              </w:rPr>
              <w:t xml:space="preserve">. </w:t>
            </w:r>
          </w:p>
          <w:p w14:paraId="2B09ACEB" w14:textId="77777777" w:rsidR="005B7BA8" w:rsidRPr="003C4E20" w:rsidRDefault="005B7BA8" w:rsidP="000235FE">
            <w:pPr>
              <w:jc w:val="both"/>
              <w:rPr>
                <w:sz w:val="20"/>
                <w:szCs w:val="20"/>
              </w:rPr>
            </w:pPr>
          </w:p>
        </w:tc>
      </w:tr>
      <w:tr w:rsidR="005B7BA8" w:rsidRPr="003C4E20" w14:paraId="33878457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60BC2141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37" w:type="pct"/>
          </w:tcPr>
          <w:p w14:paraId="2C549966" w14:textId="77777777" w:rsidR="00604108" w:rsidRDefault="00B11534" w:rsidP="005B7BA8">
            <w:pPr>
              <w:jc w:val="both"/>
              <w:rPr>
                <w:rFonts w:cstheme="minorHAnsi"/>
                <w:sz w:val="20"/>
                <w:szCs w:val="20"/>
              </w:rPr>
            </w:pPr>
            <w:r w:rsidRPr="00B11534">
              <w:rPr>
                <w:rFonts w:cstheme="minorHAnsi"/>
                <w:sz w:val="20"/>
                <w:szCs w:val="20"/>
              </w:rPr>
              <w:t xml:space="preserve">Broj </w:t>
            </w:r>
            <w:r w:rsidR="00604108">
              <w:rPr>
                <w:rFonts w:cstheme="minorHAnsi"/>
                <w:sz w:val="20"/>
                <w:szCs w:val="20"/>
              </w:rPr>
              <w:t>dodijeljenih</w:t>
            </w:r>
            <w:r w:rsidRPr="00B11534">
              <w:rPr>
                <w:rFonts w:cstheme="minorHAnsi"/>
                <w:sz w:val="20"/>
                <w:szCs w:val="20"/>
              </w:rPr>
              <w:t xml:space="preserve"> potpora male vrijednosti</w:t>
            </w:r>
            <w:r w:rsidR="00F0145B">
              <w:rPr>
                <w:rFonts w:cstheme="minorHAnsi"/>
                <w:sz w:val="20"/>
                <w:szCs w:val="20"/>
              </w:rPr>
              <w:t xml:space="preserve"> </w:t>
            </w:r>
            <w:r w:rsidRPr="00B11534">
              <w:rPr>
                <w:rFonts w:cstheme="minorHAnsi"/>
                <w:sz w:val="20"/>
                <w:szCs w:val="20"/>
              </w:rPr>
              <w:t>za zelenu i digitalnu tranziciju</w:t>
            </w:r>
            <w:r w:rsidRPr="00B11534" w:rsidDel="00B11534">
              <w:rPr>
                <w:rFonts w:cstheme="minorHAnsi"/>
                <w:sz w:val="20"/>
                <w:szCs w:val="20"/>
              </w:rPr>
              <w:t xml:space="preserve"> </w:t>
            </w:r>
            <w:r w:rsidR="00247FCE">
              <w:rPr>
                <w:rFonts w:cstheme="minorHAnsi"/>
                <w:sz w:val="20"/>
                <w:szCs w:val="20"/>
              </w:rPr>
              <w:t>poduzetnika</w:t>
            </w:r>
          </w:p>
          <w:p w14:paraId="448DAF47" w14:textId="4FF9F614" w:rsidR="005B7BA8" w:rsidRPr="005B7BA8" w:rsidRDefault="005B7BA8" w:rsidP="005B7BA8">
            <w:pPr>
              <w:jc w:val="both"/>
              <w:rPr>
                <w:rFonts w:cstheme="minorHAnsi"/>
                <w:sz w:val="20"/>
                <w:szCs w:val="20"/>
              </w:rPr>
            </w:pPr>
            <w:r w:rsidRPr="005B7BA8">
              <w:rPr>
                <w:rFonts w:cstheme="minorHAnsi"/>
                <w:sz w:val="20"/>
                <w:szCs w:val="20"/>
              </w:rPr>
              <w:t xml:space="preserve">2026. </w:t>
            </w:r>
            <w:r w:rsidR="00115E5A" w:rsidRPr="00721091">
              <w:rPr>
                <w:rFonts w:cstheme="minorHAnsi"/>
                <w:sz w:val="20"/>
                <w:szCs w:val="20"/>
              </w:rPr>
              <w:t>–</w:t>
            </w:r>
            <w:r w:rsidRPr="005B7BA8">
              <w:rPr>
                <w:rFonts w:cstheme="minorHAnsi"/>
                <w:sz w:val="20"/>
                <w:szCs w:val="20"/>
              </w:rPr>
              <w:t xml:space="preserve"> 1</w:t>
            </w:r>
            <w:r w:rsidR="00430988">
              <w:rPr>
                <w:rFonts w:cstheme="minorHAnsi"/>
                <w:sz w:val="20"/>
                <w:szCs w:val="20"/>
              </w:rPr>
              <w:t>3</w:t>
            </w:r>
            <w:r w:rsidRPr="005B7BA8">
              <w:rPr>
                <w:rFonts w:cstheme="minorHAnsi"/>
                <w:sz w:val="20"/>
                <w:szCs w:val="20"/>
              </w:rPr>
              <w:t xml:space="preserve">0                          </w:t>
            </w:r>
          </w:p>
          <w:p w14:paraId="0A8A0CBD" w14:textId="7176BAAA" w:rsidR="00721091" w:rsidRDefault="005B7BA8" w:rsidP="005B7BA8">
            <w:pPr>
              <w:jc w:val="both"/>
              <w:rPr>
                <w:rFonts w:cstheme="minorHAnsi"/>
                <w:sz w:val="20"/>
                <w:szCs w:val="20"/>
              </w:rPr>
            </w:pPr>
            <w:r w:rsidRPr="005B7BA8">
              <w:rPr>
                <w:rFonts w:cstheme="minorHAnsi"/>
                <w:sz w:val="20"/>
                <w:szCs w:val="20"/>
              </w:rPr>
              <w:t xml:space="preserve">2027. </w:t>
            </w:r>
            <w:r w:rsidR="00115E5A" w:rsidRPr="00721091">
              <w:rPr>
                <w:rFonts w:cstheme="minorHAnsi"/>
                <w:sz w:val="20"/>
                <w:szCs w:val="20"/>
              </w:rPr>
              <w:t>–</w:t>
            </w:r>
            <w:r w:rsidRPr="005B7BA8">
              <w:rPr>
                <w:rFonts w:cstheme="minorHAnsi"/>
                <w:sz w:val="20"/>
                <w:szCs w:val="20"/>
              </w:rPr>
              <w:t xml:space="preserve"> 1</w:t>
            </w:r>
            <w:r w:rsidR="00B11534">
              <w:rPr>
                <w:rFonts w:cstheme="minorHAnsi"/>
                <w:sz w:val="20"/>
                <w:szCs w:val="20"/>
              </w:rPr>
              <w:t>5</w:t>
            </w:r>
            <w:r w:rsidRPr="005B7BA8">
              <w:rPr>
                <w:rFonts w:cstheme="minorHAnsi"/>
                <w:sz w:val="20"/>
                <w:szCs w:val="20"/>
              </w:rPr>
              <w:t xml:space="preserve">0 </w:t>
            </w:r>
          </w:p>
          <w:p w14:paraId="6D176F3F" w14:textId="77777777" w:rsidR="00721091" w:rsidRDefault="00721091" w:rsidP="005B7BA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713B3C1" w14:textId="33E9C876" w:rsidR="00721091" w:rsidRPr="00721091" w:rsidRDefault="00721091" w:rsidP="00721091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091">
              <w:rPr>
                <w:rFonts w:cstheme="minorHAnsi"/>
                <w:sz w:val="20"/>
                <w:szCs w:val="20"/>
              </w:rPr>
              <w:t>Broj realiziranih projekata s ciljem poticanja poduzetnika u turizmu</w:t>
            </w:r>
            <w:r w:rsidR="009B257F">
              <w:rPr>
                <w:rStyle w:val="FootnoteReference"/>
                <w:rFonts w:cstheme="minorHAnsi"/>
                <w:sz w:val="20"/>
                <w:szCs w:val="20"/>
              </w:rPr>
              <w:footnoteReference w:id="3"/>
            </w:r>
          </w:p>
          <w:p w14:paraId="09E3D44D" w14:textId="77777777" w:rsidR="00721091" w:rsidRPr="00721091" w:rsidRDefault="00721091" w:rsidP="00721091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091">
              <w:rPr>
                <w:rFonts w:cstheme="minorHAnsi"/>
                <w:sz w:val="20"/>
                <w:szCs w:val="20"/>
              </w:rPr>
              <w:t>2026</w:t>
            </w:r>
            <w:r w:rsidR="00F3596B">
              <w:rPr>
                <w:rFonts w:cstheme="minorHAnsi"/>
                <w:sz w:val="20"/>
                <w:szCs w:val="20"/>
              </w:rPr>
              <w:t>.</w:t>
            </w:r>
            <w:r w:rsidRPr="00721091">
              <w:rPr>
                <w:rFonts w:cstheme="minorHAnsi"/>
                <w:sz w:val="20"/>
                <w:szCs w:val="20"/>
              </w:rPr>
              <w:t xml:space="preserve"> – </w:t>
            </w:r>
            <w:r w:rsidR="003522A9">
              <w:rPr>
                <w:rFonts w:cstheme="minorHAnsi"/>
                <w:sz w:val="20"/>
                <w:szCs w:val="20"/>
              </w:rPr>
              <w:t>30</w:t>
            </w:r>
          </w:p>
          <w:p w14:paraId="045431A4" w14:textId="77777777" w:rsidR="005B7BA8" w:rsidRPr="005B7BA8" w:rsidRDefault="00721091" w:rsidP="00721091">
            <w:pPr>
              <w:jc w:val="both"/>
              <w:rPr>
                <w:rFonts w:cstheme="minorHAnsi"/>
                <w:sz w:val="20"/>
                <w:szCs w:val="20"/>
              </w:rPr>
            </w:pPr>
            <w:r w:rsidRPr="00721091">
              <w:rPr>
                <w:rFonts w:cstheme="minorHAnsi"/>
                <w:sz w:val="20"/>
                <w:szCs w:val="20"/>
              </w:rPr>
              <w:t>2027</w:t>
            </w:r>
            <w:r w:rsidR="00F3596B">
              <w:rPr>
                <w:rFonts w:cstheme="minorHAnsi"/>
                <w:sz w:val="20"/>
                <w:szCs w:val="20"/>
              </w:rPr>
              <w:t>.</w:t>
            </w:r>
            <w:r w:rsidRPr="00721091">
              <w:rPr>
                <w:rFonts w:cstheme="minorHAnsi"/>
                <w:sz w:val="20"/>
                <w:szCs w:val="20"/>
              </w:rPr>
              <w:t xml:space="preserve"> – 0</w:t>
            </w:r>
            <w:r w:rsidR="005B7BA8" w:rsidRPr="005B7BA8">
              <w:rPr>
                <w:rFonts w:cstheme="minorHAnsi"/>
                <w:sz w:val="20"/>
                <w:szCs w:val="20"/>
              </w:rPr>
              <w:t xml:space="preserve">                                     </w:t>
            </w:r>
          </w:p>
          <w:p w14:paraId="2D0125BD" w14:textId="77777777" w:rsidR="005B7BA8" w:rsidRPr="00896E7A" w:rsidRDefault="005B7BA8" w:rsidP="005B7BA8">
            <w:pPr>
              <w:jc w:val="both"/>
              <w:rPr>
                <w:sz w:val="20"/>
                <w:szCs w:val="20"/>
              </w:rPr>
            </w:pPr>
          </w:p>
          <w:p w14:paraId="2011903D" w14:textId="77777777" w:rsidR="000943B4" w:rsidRPr="000943B4" w:rsidRDefault="000943B4" w:rsidP="000943B4">
            <w:pPr>
              <w:jc w:val="both"/>
              <w:rPr>
                <w:rFonts w:cstheme="minorHAnsi"/>
                <w:sz w:val="20"/>
                <w:szCs w:val="20"/>
              </w:rPr>
            </w:pPr>
            <w:r w:rsidRPr="000943B4">
              <w:rPr>
                <w:rFonts w:cstheme="minorHAnsi"/>
                <w:sz w:val="20"/>
                <w:szCs w:val="20"/>
              </w:rPr>
              <w:t>Broj kredita</w:t>
            </w:r>
            <w:r w:rsidR="009E4E6D">
              <w:rPr>
                <w:rFonts w:cstheme="minorHAnsi"/>
                <w:sz w:val="20"/>
                <w:szCs w:val="20"/>
              </w:rPr>
              <w:t xml:space="preserve"> za održiva ulaganja</w:t>
            </w:r>
          </w:p>
          <w:p w14:paraId="5CD74010" w14:textId="0615A345" w:rsidR="000943B4" w:rsidRPr="000943B4" w:rsidRDefault="000943B4" w:rsidP="000943B4">
            <w:pPr>
              <w:jc w:val="both"/>
              <w:rPr>
                <w:rFonts w:cstheme="minorHAnsi"/>
                <w:sz w:val="20"/>
                <w:szCs w:val="20"/>
              </w:rPr>
            </w:pPr>
            <w:r w:rsidRPr="000943B4">
              <w:rPr>
                <w:rFonts w:cstheme="minorHAnsi"/>
                <w:sz w:val="20"/>
                <w:szCs w:val="20"/>
              </w:rPr>
              <w:t xml:space="preserve">2026. </w:t>
            </w:r>
            <w:r w:rsidR="00115E5A" w:rsidRPr="00721091">
              <w:rPr>
                <w:rFonts w:cstheme="minorHAnsi"/>
                <w:sz w:val="20"/>
                <w:szCs w:val="20"/>
              </w:rPr>
              <w:t>–</w:t>
            </w:r>
            <w:r w:rsidR="000D286D">
              <w:rPr>
                <w:rFonts w:cstheme="minorHAnsi"/>
                <w:sz w:val="20"/>
                <w:szCs w:val="20"/>
              </w:rPr>
              <w:t xml:space="preserve"> </w:t>
            </w:r>
            <w:r w:rsidRPr="000943B4">
              <w:rPr>
                <w:rFonts w:cstheme="minorHAnsi"/>
                <w:sz w:val="20"/>
                <w:szCs w:val="20"/>
              </w:rPr>
              <w:t>1</w:t>
            </w:r>
            <w:r w:rsidR="000D286D">
              <w:rPr>
                <w:rFonts w:cstheme="minorHAnsi"/>
                <w:sz w:val="20"/>
                <w:szCs w:val="20"/>
              </w:rPr>
              <w:t>0</w:t>
            </w:r>
          </w:p>
          <w:p w14:paraId="48C17FBA" w14:textId="77777777" w:rsidR="000943B4" w:rsidRDefault="000943B4" w:rsidP="000943B4">
            <w:pPr>
              <w:jc w:val="both"/>
              <w:rPr>
                <w:rFonts w:cstheme="minorHAnsi"/>
                <w:sz w:val="20"/>
                <w:szCs w:val="20"/>
              </w:rPr>
            </w:pPr>
            <w:r w:rsidRPr="000943B4">
              <w:rPr>
                <w:rFonts w:cstheme="minorHAnsi"/>
                <w:sz w:val="20"/>
                <w:szCs w:val="20"/>
              </w:rPr>
              <w:t>2027. – 0</w:t>
            </w:r>
          </w:p>
          <w:p w14:paraId="424DDB36" w14:textId="77777777" w:rsidR="000943B4" w:rsidRDefault="000943B4" w:rsidP="000943B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FDF7BE3" w14:textId="35F3E3CC" w:rsidR="00255E58" w:rsidRPr="004236D5" w:rsidRDefault="00255E58" w:rsidP="000943B4">
            <w:pPr>
              <w:jc w:val="both"/>
              <w:rPr>
                <w:rFonts w:cstheme="minorHAnsi"/>
                <w:sz w:val="20"/>
                <w:szCs w:val="20"/>
              </w:rPr>
            </w:pPr>
            <w:r w:rsidRPr="004236D5">
              <w:rPr>
                <w:rFonts w:cstheme="minorHAnsi"/>
                <w:sz w:val="20"/>
                <w:szCs w:val="20"/>
              </w:rPr>
              <w:t>Broj nov</w:t>
            </w:r>
            <w:r w:rsidR="007458CD">
              <w:rPr>
                <w:rFonts w:cstheme="minorHAnsi"/>
                <w:sz w:val="20"/>
                <w:szCs w:val="20"/>
              </w:rPr>
              <w:t xml:space="preserve">o proglašenih strateških </w:t>
            </w:r>
            <w:r w:rsidRPr="004236D5">
              <w:rPr>
                <w:rFonts w:cstheme="minorHAnsi"/>
                <w:sz w:val="20"/>
                <w:szCs w:val="20"/>
              </w:rPr>
              <w:t>projekata sukladno Zakonu o strateškim investicijskim projektima</w:t>
            </w:r>
            <w:r w:rsidR="009F3258">
              <w:rPr>
                <w:rFonts w:cstheme="minorHAnsi"/>
                <w:sz w:val="20"/>
                <w:szCs w:val="20"/>
              </w:rPr>
              <w:t xml:space="preserve"> Republike Hrvatske</w:t>
            </w:r>
          </w:p>
          <w:p w14:paraId="7BA08210" w14:textId="77777777" w:rsidR="00255E58" w:rsidRPr="004236D5" w:rsidRDefault="00255E58" w:rsidP="004236D5">
            <w:pPr>
              <w:jc w:val="both"/>
              <w:rPr>
                <w:rFonts w:cstheme="minorHAnsi"/>
                <w:sz w:val="20"/>
                <w:szCs w:val="20"/>
              </w:rPr>
            </w:pPr>
            <w:r w:rsidRPr="004236D5">
              <w:rPr>
                <w:rFonts w:cstheme="minorHAnsi"/>
                <w:sz w:val="20"/>
                <w:szCs w:val="20"/>
              </w:rPr>
              <w:t>2026. – 0</w:t>
            </w:r>
          </w:p>
          <w:p w14:paraId="57AA8E68" w14:textId="77777777" w:rsidR="00255E58" w:rsidRPr="004236D5" w:rsidRDefault="00255E58" w:rsidP="004236D5">
            <w:pPr>
              <w:jc w:val="both"/>
              <w:rPr>
                <w:rFonts w:cstheme="minorHAnsi"/>
                <w:sz w:val="20"/>
                <w:szCs w:val="20"/>
              </w:rPr>
            </w:pPr>
            <w:r w:rsidRPr="004236D5">
              <w:rPr>
                <w:rFonts w:cstheme="minorHAnsi"/>
                <w:sz w:val="20"/>
                <w:szCs w:val="20"/>
              </w:rPr>
              <w:t>2027. – 1</w:t>
            </w:r>
          </w:p>
          <w:p w14:paraId="45260984" w14:textId="77777777" w:rsidR="005D193A" w:rsidRPr="00896E7A" w:rsidRDefault="005D193A" w:rsidP="00BA0D67">
            <w:pPr>
              <w:jc w:val="both"/>
              <w:rPr>
                <w:sz w:val="20"/>
                <w:szCs w:val="20"/>
              </w:rPr>
            </w:pPr>
          </w:p>
          <w:p w14:paraId="5F47EFB5" w14:textId="77777777" w:rsidR="005D193A" w:rsidRPr="009E2128" w:rsidRDefault="005D193A" w:rsidP="004236D5">
            <w:pPr>
              <w:jc w:val="both"/>
              <w:rPr>
                <w:rFonts w:cstheme="minorHAnsi"/>
                <w:sz w:val="20"/>
                <w:szCs w:val="20"/>
              </w:rPr>
            </w:pPr>
            <w:r w:rsidRPr="009E2128">
              <w:rPr>
                <w:rFonts w:cstheme="minorHAnsi"/>
                <w:sz w:val="20"/>
                <w:szCs w:val="20"/>
              </w:rPr>
              <w:t xml:space="preserve">Broj </w:t>
            </w:r>
            <w:r w:rsidR="00604A38" w:rsidRPr="009E2128">
              <w:rPr>
                <w:rFonts w:cstheme="minorHAnsi"/>
                <w:sz w:val="20"/>
                <w:szCs w:val="20"/>
              </w:rPr>
              <w:t>podržanih poduzetnika kojima su dodijeljena jamstva</w:t>
            </w:r>
            <w:r w:rsidR="004236D5">
              <w:rPr>
                <w:rStyle w:val="FootnoteReference"/>
                <w:rFonts w:cstheme="minorHAnsi"/>
                <w:sz w:val="20"/>
                <w:szCs w:val="20"/>
              </w:rPr>
              <w:footnoteReference w:id="4"/>
            </w:r>
            <w:r w:rsidRPr="009E212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5C3DC07" w14:textId="77777777" w:rsidR="005D193A" w:rsidRPr="009E2128" w:rsidRDefault="005D193A" w:rsidP="004236D5">
            <w:pPr>
              <w:jc w:val="both"/>
              <w:rPr>
                <w:rFonts w:cstheme="minorHAnsi"/>
                <w:sz w:val="20"/>
                <w:szCs w:val="20"/>
              </w:rPr>
            </w:pPr>
            <w:r w:rsidRPr="009E2128">
              <w:rPr>
                <w:rFonts w:cstheme="minorHAnsi"/>
                <w:sz w:val="20"/>
                <w:szCs w:val="20"/>
              </w:rPr>
              <w:t>2026. – 82</w:t>
            </w:r>
          </w:p>
          <w:p w14:paraId="24AD9DB2" w14:textId="70D6F17B" w:rsidR="005D193A" w:rsidRPr="00115E5A" w:rsidRDefault="005D193A" w:rsidP="00BA0D67">
            <w:pPr>
              <w:jc w:val="both"/>
              <w:rPr>
                <w:rFonts w:cstheme="minorHAnsi"/>
                <w:sz w:val="20"/>
                <w:szCs w:val="20"/>
              </w:rPr>
            </w:pPr>
            <w:r w:rsidRPr="009E2128">
              <w:rPr>
                <w:rFonts w:cstheme="minorHAnsi"/>
                <w:sz w:val="20"/>
                <w:szCs w:val="20"/>
              </w:rPr>
              <w:t xml:space="preserve">2027. </w:t>
            </w:r>
            <w:r w:rsidR="004236D5" w:rsidRPr="009E2128">
              <w:rPr>
                <w:rFonts w:cstheme="minorHAnsi"/>
                <w:sz w:val="20"/>
                <w:szCs w:val="20"/>
              </w:rPr>
              <w:t xml:space="preserve">– </w:t>
            </w:r>
            <w:r w:rsidRPr="009E2128">
              <w:rPr>
                <w:rFonts w:cstheme="minorHAnsi"/>
                <w:sz w:val="20"/>
                <w:szCs w:val="20"/>
              </w:rPr>
              <w:t>23</w:t>
            </w:r>
          </w:p>
        </w:tc>
      </w:tr>
      <w:tr w:rsidR="005B7BA8" w:rsidRPr="003C4E20" w14:paraId="27D822E9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70ECCCCD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D473" w14:textId="40727044" w:rsidR="005B7BA8" w:rsidRPr="003C4E20" w:rsidRDefault="0086594C" w:rsidP="00954943">
            <w:pPr>
              <w:jc w:val="both"/>
              <w:rPr>
                <w:rFonts w:eastAsia="Calibri"/>
                <w:lang w:eastAsia="hr-HR"/>
              </w:rPr>
            </w:pPr>
            <w:r w:rsidRPr="0086594C">
              <w:rPr>
                <w:rFonts w:eastAsia="Calibri"/>
                <w:sz w:val="20"/>
                <w:szCs w:val="20"/>
                <w:lang w:eastAsia="hr-HR"/>
              </w:rPr>
              <w:t>74.265.102</w:t>
            </w:r>
            <w:r>
              <w:rPr>
                <w:rFonts w:eastAsia="Calibri"/>
                <w:sz w:val="20"/>
                <w:szCs w:val="20"/>
                <w:lang w:eastAsia="hr-HR"/>
              </w:rPr>
              <w:t>,00</w:t>
            </w:r>
            <w:r w:rsidR="00D50AF0">
              <w:rPr>
                <w:sz w:val="20"/>
                <w:szCs w:val="20"/>
              </w:rPr>
              <w:t>EUR</w:t>
            </w:r>
          </w:p>
        </w:tc>
      </w:tr>
      <w:tr w:rsidR="005B7BA8" w:rsidRPr="003C4E20" w14:paraId="5FCD3791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29C00409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A5F" w14:textId="77777777" w:rsidR="005B7BA8" w:rsidRDefault="005B7BA8" w:rsidP="003F3E4E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A587055 Konkurentnost turističkog gospodarstva</w:t>
            </w:r>
          </w:p>
          <w:p w14:paraId="0F9A04D5" w14:textId="77777777" w:rsidR="00B11534" w:rsidRPr="00B11534" w:rsidRDefault="00B11534" w:rsidP="00B11534">
            <w:pPr>
              <w:contextualSpacing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B11534">
              <w:rPr>
                <w:rFonts w:eastAsia="Calibri"/>
                <w:sz w:val="20"/>
                <w:szCs w:val="20"/>
                <w:lang w:eastAsia="hr-HR"/>
              </w:rPr>
              <w:t>2026. – 3.404.340,00 EUR</w:t>
            </w:r>
            <w:r w:rsidR="00DD1DB1">
              <w:rPr>
                <w:rFonts w:eastAsia="Calibri"/>
                <w:sz w:val="20"/>
                <w:szCs w:val="20"/>
                <w:lang w:eastAsia="hr-HR"/>
              </w:rPr>
              <w:t xml:space="preserve"> (izvor 11)</w:t>
            </w:r>
          </w:p>
          <w:p w14:paraId="22B81C73" w14:textId="77777777" w:rsidR="00B608E6" w:rsidRDefault="00B11534" w:rsidP="003F3E4E">
            <w:pPr>
              <w:contextualSpacing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B11534">
              <w:rPr>
                <w:rFonts w:eastAsia="Calibri"/>
                <w:sz w:val="20"/>
                <w:szCs w:val="20"/>
                <w:lang w:eastAsia="hr-HR"/>
              </w:rPr>
              <w:t>2027. – 4.363.917,00 EUR</w:t>
            </w:r>
            <w:r w:rsidRPr="00B11534" w:rsidDel="00B11534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DD1DB1">
              <w:rPr>
                <w:rFonts w:eastAsia="Calibri"/>
                <w:sz w:val="20"/>
                <w:szCs w:val="20"/>
                <w:lang w:eastAsia="hr-HR"/>
              </w:rPr>
              <w:t>(izvor 11)</w:t>
            </w:r>
          </w:p>
          <w:p w14:paraId="0C281CAE" w14:textId="77777777" w:rsidR="00604108" w:rsidRDefault="00604108" w:rsidP="003F3E4E">
            <w:pPr>
              <w:contextualSpacing/>
              <w:jc w:val="both"/>
              <w:rPr>
                <w:sz w:val="20"/>
                <w:szCs w:val="20"/>
              </w:rPr>
            </w:pPr>
          </w:p>
          <w:p w14:paraId="79E0FBD3" w14:textId="77777777" w:rsidR="001C3A11" w:rsidRDefault="00B608E6" w:rsidP="00B608E6">
            <w:pPr>
              <w:contextualSpacing/>
              <w:jc w:val="both"/>
              <w:rPr>
                <w:sz w:val="20"/>
                <w:szCs w:val="20"/>
              </w:rPr>
            </w:pPr>
            <w:r w:rsidRPr="00B608E6">
              <w:rPr>
                <w:sz w:val="20"/>
                <w:szCs w:val="20"/>
              </w:rPr>
              <w:t xml:space="preserve">A916035 Razvoj održivog, inovativnog i otpornog turizma – NPOO – </w:t>
            </w:r>
          </w:p>
          <w:p w14:paraId="4729CBD5" w14:textId="77777777" w:rsidR="00B608E6" w:rsidRDefault="00B608E6" w:rsidP="00B608E6">
            <w:pPr>
              <w:contextualSpacing/>
              <w:jc w:val="both"/>
              <w:rPr>
                <w:sz w:val="20"/>
                <w:szCs w:val="20"/>
              </w:rPr>
            </w:pPr>
            <w:r w:rsidRPr="00B608E6">
              <w:rPr>
                <w:sz w:val="20"/>
                <w:szCs w:val="20"/>
              </w:rPr>
              <w:t xml:space="preserve">A916035.04 Jačanje održivosti te poticanje zelene i digitalne tranzicije poduzetnika </w:t>
            </w:r>
            <w:r w:rsidR="00721091" w:rsidRPr="00721091">
              <w:rPr>
                <w:sz w:val="20"/>
                <w:szCs w:val="20"/>
              </w:rPr>
              <w:t>– Investicija 2 – Grupa 1</w:t>
            </w:r>
          </w:p>
          <w:p w14:paraId="680F0C22" w14:textId="6B55BB3F" w:rsidR="007A629E" w:rsidRDefault="002E6620" w:rsidP="00B608E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– </w:t>
            </w:r>
            <w:r w:rsidR="0086594C" w:rsidRPr="0086594C">
              <w:rPr>
                <w:sz w:val="20"/>
                <w:szCs w:val="20"/>
              </w:rPr>
              <w:t>46.775.225</w:t>
            </w:r>
            <w:r w:rsidR="003522A9">
              <w:rPr>
                <w:sz w:val="20"/>
                <w:szCs w:val="20"/>
              </w:rPr>
              <w:t>,00</w:t>
            </w:r>
            <w:r w:rsidR="4242402A" w:rsidRPr="1BBEE06B">
              <w:rPr>
                <w:sz w:val="20"/>
                <w:szCs w:val="20"/>
              </w:rPr>
              <w:t xml:space="preserve"> EUR</w:t>
            </w:r>
            <w:r w:rsidR="00DD1DB1">
              <w:rPr>
                <w:sz w:val="20"/>
                <w:szCs w:val="20"/>
              </w:rPr>
              <w:t xml:space="preserve"> (izvor 581</w:t>
            </w:r>
            <w:r w:rsidR="007A629E">
              <w:rPr>
                <w:sz w:val="20"/>
                <w:szCs w:val="20"/>
              </w:rPr>
              <w:t>)</w:t>
            </w:r>
          </w:p>
          <w:p w14:paraId="4E99B1C6" w14:textId="1C7873CC" w:rsidR="00640730" w:rsidRPr="00B608E6" w:rsidRDefault="002E6620" w:rsidP="00B608E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– </w:t>
            </w:r>
            <w:r w:rsidR="00640730">
              <w:rPr>
                <w:sz w:val="20"/>
                <w:szCs w:val="20"/>
              </w:rPr>
              <w:t>0</w:t>
            </w:r>
          </w:p>
          <w:p w14:paraId="7945E366" w14:textId="77777777" w:rsidR="001C3A11" w:rsidRDefault="001C3A11" w:rsidP="00B608E6">
            <w:pPr>
              <w:contextualSpacing/>
              <w:jc w:val="both"/>
              <w:rPr>
                <w:sz w:val="20"/>
                <w:szCs w:val="20"/>
              </w:rPr>
            </w:pPr>
          </w:p>
          <w:p w14:paraId="0931C488" w14:textId="77777777" w:rsidR="00B608E6" w:rsidRDefault="00B608E6" w:rsidP="00B608E6">
            <w:pPr>
              <w:contextualSpacing/>
              <w:jc w:val="both"/>
              <w:rPr>
                <w:sz w:val="20"/>
                <w:szCs w:val="20"/>
              </w:rPr>
            </w:pPr>
            <w:r w:rsidRPr="00B608E6">
              <w:rPr>
                <w:sz w:val="20"/>
                <w:szCs w:val="20"/>
              </w:rPr>
              <w:t xml:space="preserve">K916058 </w:t>
            </w:r>
            <w:r w:rsidR="000235FE">
              <w:rPr>
                <w:sz w:val="20"/>
                <w:szCs w:val="20"/>
              </w:rPr>
              <w:t>P</w:t>
            </w:r>
            <w:r w:rsidR="000235FE" w:rsidRPr="00B608E6">
              <w:rPr>
                <w:sz w:val="20"/>
                <w:szCs w:val="20"/>
              </w:rPr>
              <w:t>rogram konkurentnost i kohezija 2021. -2027</w:t>
            </w:r>
          </w:p>
          <w:p w14:paraId="3403D0E8" w14:textId="7EFC5134" w:rsidR="007A629E" w:rsidRDefault="48293CE3" w:rsidP="00B608E6">
            <w:pPr>
              <w:contextualSpacing/>
              <w:jc w:val="both"/>
              <w:rPr>
                <w:sz w:val="20"/>
                <w:szCs w:val="20"/>
              </w:rPr>
            </w:pPr>
            <w:r w:rsidRPr="1BBEE06B">
              <w:rPr>
                <w:sz w:val="20"/>
                <w:szCs w:val="20"/>
              </w:rPr>
              <w:t>2026</w:t>
            </w:r>
            <w:r w:rsidR="004236D5">
              <w:rPr>
                <w:sz w:val="20"/>
                <w:szCs w:val="20"/>
              </w:rPr>
              <w:t>.</w:t>
            </w:r>
            <w:r w:rsidRPr="1BBEE06B">
              <w:rPr>
                <w:sz w:val="20"/>
                <w:szCs w:val="20"/>
              </w:rPr>
              <w:t xml:space="preserve"> –</w:t>
            </w:r>
            <w:r w:rsidR="3EC91E21" w:rsidRPr="1BBEE06B">
              <w:rPr>
                <w:sz w:val="20"/>
                <w:szCs w:val="20"/>
              </w:rPr>
              <w:t xml:space="preserve"> </w:t>
            </w:r>
            <w:r w:rsidR="00C20EC0">
              <w:rPr>
                <w:sz w:val="20"/>
                <w:szCs w:val="20"/>
              </w:rPr>
              <w:t>1</w:t>
            </w:r>
            <w:r w:rsidR="00C20EC0" w:rsidRPr="1BBEE06B">
              <w:rPr>
                <w:sz w:val="20"/>
                <w:szCs w:val="20"/>
              </w:rPr>
              <w:t>9.</w:t>
            </w:r>
            <w:r w:rsidR="00C20EC0">
              <w:rPr>
                <w:sz w:val="20"/>
                <w:szCs w:val="20"/>
              </w:rPr>
              <w:t>721</w:t>
            </w:r>
            <w:r w:rsidR="00C20EC0" w:rsidRPr="1BBEE06B">
              <w:rPr>
                <w:sz w:val="20"/>
                <w:szCs w:val="20"/>
              </w:rPr>
              <w:t>.</w:t>
            </w:r>
            <w:r w:rsidR="00C20EC0">
              <w:rPr>
                <w:sz w:val="20"/>
                <w:szCs w:val="20"/>
              </w:rPr>
              <w:t>620,00</w:t>
            </w:r>
            <w:r w:rsidR="4242402A" w:rsidRPr="1BBEE06B">
              <w:rPr>
                <w:sz w:val="20"/>
                <w:szCs w:val="20"/>
              </w:rPr>
              <w:t>, EUR</w:t>
            </w:r>
            <w:r w:rsidR="00DD1DB1">
              <w:rPr>
                <w:sz w:val="20"/>
                <w:szCs w:val="20"/>
              </w:rPr>
              <w:t xml:space="preserve"> (izvor 563</w:t>
            </w:r>
            <w:r w:rsidR="007A629E">
              <w:rPr>
                <w:sz w:val="20"/>
                <w:szCs w:val="20"/>
              </w:rPr>
              <w:t>)</w:t>
            </w:r>
          </w:p>
          <w:p w14:paraId="11C0CE77" w14:textId="58B40F55" w:rsidR="00640730" w:rsidRDefault="002E6620" w:rsidP="00B608E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– </w:t>
            </w:r>
            <w:r w:rsidR="00640730">
              <w:rPr>
                <w:sz w:val="20"/>
                <w:szCs w:val="20"/>
              </w:rPr>
              <w:t>0</w:t>
            </w:r>
          </w:p>
          <w:p w14:paraId="2CBD6873" w14:textId="77777777" w:rsidR="008C3579" w:rsidRPr="00896E7A" w:rsidRDefault="008C3579" w:rsidP="008C3579">
            <w:pPr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</w:p>
          <w:p w14:paraId="795CC69C" w14:textId="05C8764F" w:rsidR="008C3579" w:rsidRPr="009E2128" w:rsidRDefault="008C3579" w:rsidP="008C3579">
            <w:pPr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9E2128">
              <w:rPr>
                <w:sz w:val="20"/>
                <w:szCs w:val="20"/>
              </w:rPr>
              <w:t>A916038 Program dodjele državnih potpora sektoru turizm</w:t>
            </w:r>
            <w:r w:rsidR="008D44BA">
              <w:rPr>
                <w:sz w:val="20"/>
                <w:szCs w:val="20"/>
              </w:rPr>
              <w:t>a i sporta u aktualnoj pandemiji</w:t>
            </w:r>
            <w:r w:rsidRPr="009E2128">
              <w:rPr>
                <w:sz w:val="20"/>
                <w:szCs w:val="20"/>
              </w:rPr>
              <w:t xml:space="preserve"> COVID-a 19 (sredstva su rezervirana za slučaj aktivacije izdanih jamstava)</w:t>
            </w:r>
          </w:p>
          <w:p w14:paraId="773C4FC5" w14:textId="77777777" w:rsidR="00A63C22" w:rsidRPr="003C4E20" w:rsidRDefault="00A63C22" w:rsidP="00B608E6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B7BA8" w:rsidRPr="003C4E20" w14:paraId="4969A618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5ED9B161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37" w:type="pct"/>
          </w:tcPr>
          <w:p w14:paraId="6076D22B" w14:textId="77777777" w:rsidR="005B7BA8" w:rsidRPr="00896E7A" w:rsidRDefault="005B7BA8" w:rsidP="005B7BA8">
            <w:pPr>
              <w:jc w:val="both"/>
              <w:rPr>
                <w:sz w:val="20"/>
                <w:szCs w:val="20"/>
              </w:rPr>
            </w:pPr>
            <w:r w:rsidRPr="00460E67">
              <w:rPr>
                <w:sz w:val="20"/>
                <w:szCs w:val="20"/>
              </w:rPr>
              <w:t>MINTS</w:t>
            </w:r>
          </w:p>
        </w:tc>
      </w:tr>
      <w:tr w:rsidR="005B7BA8" w:rsidRPr="003C4E20" w14:paraId="5670E3FE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7515C4D3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37" w:type="pct"/>
          </w:tcPr>
          <w:p w14:paraId="5F2CD83F" w14:textId="77777777" w:rsidR="005B7BA8" w:rsidRPr="003C4E20" w:rsidRDefault="00B608E6" w:rsidP="005B7BA8">
            <w:pPr>
              <w:jc w:val="both"/>
              <w:rPr>
                <w:sz w:val="20"/>
                <w:szCs w:val="20"/>
              </w:rPr>
            </w:pPr>
            <w:r w:rsidRPr="00B608E6">
              <w:rPr>
                <w:sz w:val="20"/>
                <w:szCs w:val="20"/>
              </w:rPr>
              <w:t>HAMAG BICRO, HBOR</w:t>
            </w:r>
            <w:r w:rsidRPr="00B608E6" w:rsidDel="00B608E6">
              <w:rPr>
                <w:sz w:val="20"/>
                <w:szCs w:val="20"/>
              </w:rPr>
              <w:t xml:space="preserve"> </w:t>
            </w:r>
          </w:p>
        </w:tc>
      </w:tr>
      <w:tr w:rsidR="005B7BA8" w:rsidRPr="003C4E20" w14:paraId="0E2B7344" w14:textId="77777777" w:rsidTr="1BBEE06B">
        <w:tc>
          <w:tcPr>
            <w:tcW w:w="1663" w:type="pct"/>
            <w:shd w:val="clear" w:color="auto" w:fill="DEEAF6" w:themeFill="accent1" w:themeFillTint="33"/>
          </w:tcPr>
          <w:p w14:paraId="43E771D2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37" w:type="pct"/>
          </w:tcPr>
          <w:p w14:paraId="21066A5F" w14:textId="77777777" w:rsidR="005B7BA8" w:rsidRPr="003C4E20" w:rsidRDefault="005B7BA8" w:rsidP="005B7B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</w:tbl>
    <w:p w14:paraId="33F1A662" w14:textId="77777777" w:rsidR="003C4E20" w:rsidRDefault="003C4E20" w:rsidP="003C4E20">
      <w:pPr>
        <w:rPr>
          <w:rFonts w:ascii="Times New Roman" w:hAnsi="Times New Roman" w:cs="Times New Roman"/>
        </w:rPr>
      </w:pPr>
    </w:p>
    <w:p w14:paraId="5888DDA9" w14:textId="77777777" w:rsidR="00AB000E" w:rsidRPr="003C4E20" w:rsidRDefault="00AB000E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3C4E20" w:rsidRPr="003C4E20" w14:paraId="690AB9A2" w14:textId="77777777" w:rsidTr="003C4E20">
        <w:tc>
          <w:tcPr>
            <w:tcW w:w="5000" w:type="pct"/>
            <w:gridSpan w:val="3"/>
            <w:shd w:val="clear" w:color="auto" w:fill="002060"/>
          </w:tcPr>
          <w:p w14:paraId="15AC70FE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12" w:name="_Toc140856010"/>
            <w:bookmarkStart w:id="13" w:name="_Toc141982408"/>
            <w:r w:rsidRPr="003C4E20">
              <w:rPr>
                <w:rFonts w:eastAsiaTheme="majorEastAsia"/>
                <w:color w:val="2E74B5" w:themeColor="accent1" w:themeShade="BF"/>
                <w:sz w:val="28"/>
                <w:szCs w:val="32"/>
              </w:rPr>
              <w:t>Posebni cilj 2.</w:t>
            </w:r>
            <w:bookmarkEnd w:id="12"/>
            <w:bookmarkEnd w:id="13"/>
          </w:p>
          <w:p w14:paraId="13777686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14" w:name="_Toc140856011"/>
            <w:bookmarkStart w:id="15" w:name="_Toc141982409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>REPOZICIONIRANJE HRVATSKE KAO CJELOGODIŠNJE AUTENTIČNE DESTINACIJE ODRŽIVOG TURIZMA</w:t>
            </w:r>
            <w:bookmarkEnd w:id="14"/>
            <w:bookmarkEnd w:id="15"/>
          </w:p>
        </w:tc>
      </w:tr>
      <w:tr w:rsidR="003C4E20" w:rsidRPr="003C4E20" w14:paraId="7F3AC94A" w14:textId="77777777" w:rsidTr="003C4E20">
        <w:tc>
          <w:tcPr>
            <w:tcW w:w="1666" w:type="pct"/>
            <w:shd w:val="clear" w:color="auto" w:fill="DEEAF6" w:themeFill="accent1" w:themeFillTint="33"/>
          </w:tcPr>
          <w:p w14:paraId="5B807C94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ishoda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6B3815DA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Početna vrijednost pokazatelja ishoda 2019.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61AB2F19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Ciljana vrijednost pokazatelja ishoda 2027.*</w:t>
            </w:r>
          </w:p>
        </w:tc>
      </w:tr>
      <w:tr w:rsidR="003C4E20" w:rsidRPr="003C4E20" w14:paraId="30BD3ACC" w14:textId="77777777" w:rsidTr="003C4E20">
        <w:tc>
          <w:tcPr>
            <w:tcW w:w="1666" w:type="pct"/>
            <w:vAlign w:val="center"/>
          </w:tcPr>
          <w:p w14:paraId="0D491BB7" w14:textId="360E6984" w:rsidR="003C4E20" w:rsidRPr="003C4E20" w:rsidRDefault="009A2C6A" w:rsidP="003C4E20">
            <w:pPr>
              <w:jc w:val="center"/>
              <w:rPr>
                <w:sz w:val="20"/>
                <w:szCs w:val="20"/>
              </w:rPr>
            </w:pPr>
            <w:r w:rsidRPr="009A2C6A">
              <w:rPr>
                <w:sz w:val="20"/>
                <w:szCs w:val="20"/>
              </w:rPr>
              <w:t>OI.02.8.53</w:t>
            </w:r>
            <w:r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 xml:space="preserve">Indeks razvoja putovanja i turizma (TTDI-WEF) – </w:t>
            </w:r>
            <w:r w:rsidR="0039239F">
              <w:rPr>
                <w:sz w:val="20"/>
                <w:szCs w:val="20"/>
              </w:rPr>
              <w:t>O</w:t>
            </w:r>
            <w:r w:rsidR="003C4E20" w:rsidRPr="003C4E20">
              <w:rPr>
                <w:sz w:val="20"/>
                <w:szCs w:val="20"/>
              </w:rPr>
              <w:t>drživost putovanja i turizma</w:t>
            </w:r>
            <w:r w:rsidR="0012513F">
              <w:rPr>
                <w:sz w:val="20"/>
                <w:szCs w:val="20"/>
              </w:rPr>
              <w:t>**</w:t>
            </w:r>
          </w:p>
        </w:tc>
        <w:tc>
          <w:tcPr>
            <w:tcW w:w="1667" w:type="pct"/>
            <w:vAlign w:val="center"/>
          </w:tcPr>
          <w:p w14:paraId="48B8EA76" w14:textId="77777777" w:rsidR="003C4E20" w:rsidRPr="003C4E20" w:rsidRDefault="00331A0F" w:rsidP="003C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667" w:type="pct"/>
            <w:vAlign w:val="center"/>
          </w:tcPr>
          <w:p w14:paraId="7907866F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 xml:space="preserve">≤ </w:t>
            </w:r>
            <w:r w:rsidR="00331A0F">
              <w:rPr>
                <w:sz w:val="20"/>
                <w:szCs w:val="20"/>
              </w:rPr>
              <w:t>91</w:t>
            </w:r>
          </w:p>
        </w:tc>
      </w:tr>
    </w:tbl>
    <w:p w14:paraId="6685824B" w14:textId="77777777" w:rsidR="003C4E20" w:rsidRDefault="003C4E20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 w:rsidRPr="003C4E20">
        <w:rPr>
          <w:rFonts w:ascii="Times New Roman" w:hAnsi="Times New Roman" w:cs="Times New Roman"/>
          <w:i/>
          <w:sz w:val="16"/>
          <w:szCs w:val="18"/>
        </w:rPr>
        <w:t>* Sukladno Nacionalnom planu razvoja održivog turizma do 2027.</w:t>
      </w:r>
    </w:p>
    <w:p w14:paraId="39F20938" w14:textId="190A8100" w:rsidR="0012513F" w:rsidRPr="003C4E20" w:rsidRDefault="0012513F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 xml:space="preserve">** </w:t>
      </w:r>
      <w:r w:rsidRPr="0012513F">
        <w:rPr>
          <w:rFonts w:ascii="Times New Roman" w:hAnsi="Times New Roman" w:cs="Times New Roman"/>
          <w:i/>
          <w:sz w:val="16"/>
          <w:szCs w:val="18"/>
        </w:rPr>
        <w:t>Vrijednosti su iskazane sukladno trenutno važećoj metodologiji</w:t>
      </w:r>
      <w:r>
        <w:rPr>
          <w:rFonts w:ascii="Times New Roman" w:hAnsi="Times New Roman" w:cs="Times New Roman"/>
          <w:i/>
          <w:sz w:val="16"/>
          <w:szCs w:val="18"/>
        </w:rPr>
        <w:t xml:space="preserve"> izračuna pokazatelja</w:t>
      </w:r>
    </w:p>
    <w:p w14:paraId="2AE45D73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3"/>
        <w:gridCol w:w="6003"/>
      </w:tblGrid>
      <w:tr w:rsidR="003C4E20" w:rsidRPr="003C4E20" w14:paraId="094DB27D" w14:textId="77777777" w:rsidTr="1BBEE06B">
        <w:tc>
          <w:tcPr>
            <w:tcW w:w="5000" w:type="pct"/>
            <w:gridSpan w:val="2"/>
            <w:shd w:val="clear" w:color="auto" w:fill="BDD6EE" w:themeFill="accent1" w:themeFillTint="66"/>
          </w:tcPr>
          <w:p w14:paraId="15E1D554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6" w:name="_Toc136497262"/>
            <w:bookmarkStart w:id="17" w:name="_Toc140856012"/>
            <w:bookmarkStart w:id="18" w:name="_Toc141982410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2.1.</w:t>
            </w:r>
            <w:bookmarkEnd w:id="16"/>
            <w:bookmarkEnd w:id="17"/>
            <w:bookmarkEnd w:id="18"/>
          </w:p>
          <w:p w14:paraId="13C1B51C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9" w:name="_Toc140856013"/>
            <w:bookmarkStart w:id="20" w:name="_Toc141982411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Stvoriti preduvjete za repozicioniranje hrvatskog turizma na stranim tržištima</w:t>
            </w:r>
            <w:bookmarkEnd w:id="19"/>
            <w:bookmarkEnd w:id="20"/>
          </w:p>
        </w:tc>
      </w:tr>
      <w:tr w:rsidR="003C4E20" w:rsidRPr="003C4E20" w14:paraId="45CB1286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04C52B8C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9" w:type="pct"/>
          </w:tcPr>
          <w:p w14:paraId="1B244DF0" w14:textId="65A59752" w:rsidR="003C4E20" w:rsidRPr="006C59A6" w:rsidRDefault="00B927FF" w:rsidP="003C4E20">
            <w:pPr>
              <w:jc w:val="both"/>
              <w:rPr>
                <w:sz w:val="20"/>
                <w:szCs w:val="20"/>
              </w:rPr>
            </w:pPr>
            <w:r w:rsidRPr="006C59A6">
              <w:rPr>
                <w:sz w:val="20"/>
                <w:szCs w:val="20"/>
              </w:rPr>
              <w:t>U okviru mjere će se prov</w:t>
            </w:r>
            <w:r w:rsidR="00D50AF0" w:rsidRPr="006C59A6">
              <w:rPr>
                <w:sz w:val="20"/>
                <w:szCs w:val="20"/>
              </w:rPr>
              <w:t>oditi</w:t>
            </w:r>
            <w:r w:rsidRPr="006C59A6">
              <w:rPr>
                <w:sz w:val="20"/>
                <w:szCs w:val="20"/>
              </w:rPr>
              <w:t xml:space="preserve"> aktivnosti predviđene Strateškim marketinškim i operativnim planom</w:t>
            </w:r>
            <w:r w:rsidR="00D50AF0" w:rsidRPr="006C59A6">
              <w:rPr>
                <w:sz w:val="20"/>
                <w:szCs w:val="20"/>
              </w:rPr>
              <w:t xml:space="preserve"> hrvatskog turizma koji je izrađen 2023. godine.</w:t>
            </w:r>
            <w:r w:rsidRPr="006C59A6">
              <w:rPr>
                <w:sz w:val="20"/>
                <w:szCs w:val="20"/>
              </w:rPr>
              <w:t xml:space="preserve"> Slijedom navedenog</w:t>
            </w:r>
            <w:r w:rsidR="005276E2" w:rsidRPr="006C59A6">
              <w:rPr>
                <w:sz w:val="20"/>
                <w:szCs w:val="20"/>
              </w:rPr>
              <w:t>a</w:t>
            </w:r>
            <w:r w:rsidRPr="006C59A6">
              <w:rPr>
                <w:sz w:val="20"/>
                <w:szCs w:val="20"/>
              </w:rPr>
              <w:t xml:space="preserve"> krovnog dokumenta izradit će se regionalni i lokalni planovi u kojima će naglasak biti stavljen na one aktivnosti koje doprinose smanjenju sezonalnosti i ravnomjernom teritorijalnom razvoju turizma. Također, SMOPHT će biti podloga za novi komunikacijski koncept i vizualni identitet koji će </w:t>
            </w:r>
            <w:r w:rsidR="00F4194C">
              <w:rPr>
                <w:sz w:val="20"/>
                <w:szCs w:val="20"/>
              </w:rPr>
              <w:t xml:space="preserve">Republiku </w:t>
            </w:r>
            <w:r w:rsidRPr="006C59A6">
              <w:rPr>
                <w:sz w:val="20"/>
                <w:szCs w:val="20"/>
              </w:rPr>
              <w:t>Hrvatsku učiniti prepoznatljivom po širokoj i kvalitetnoj turističkoj ponudi i proizvodima, odnosno napraviti snažan odmak od percepcije Hrvatske kao pretežito ljetne odmorišne destinacije kroz izgradnju imidža Hrvatske kao turističke destinacije visoke vrijednosti.</w:t>
            </w:r>
          </w:p>
          <w:p w14:paraId="5ACEACE1" w14:textId="77777777" w:rsidR="00295DF9" w:rsidRPr="006C59A6" w:rsidRDefault="00295DF9" w:rsidP="003C4E20">
            <w:pPr>
              <w:jc w:val="both"/>
              <w:rPr>
                <w:sz w:val="20"/>
                <w:szCs w:val="20"/>
              </w:rPr>
            </w:pPr>
          </w:p>
        </w:tc>
      </w:tr>
      <w:tr w:rsidR="003C4E20" w:rsidRPr="003C4E20" w14:paraId="0D79F9AD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1A926FE8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9" w:type="pct"/>
          </w:tcPr>
          <w:p w14:paraId="7EDBC6DB" w14:textId="77777777" w:rsidR="00F20A90" w:rsidRPr="006C59A6" w:rsidRDefault="00B927FF" w:rsidP="003C4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6C59A6">
              <w:rPr>
                <w:rFonts w:cstheme="minorHAnsi"/>
                <w:sz w:val="20"/>
                <w:szCs w:val="20"/>
              </w:rPr>
              <w:t>Broj provedenih aktivnosti i inicijativa SMOPHT-a</w:t>
            </w:r>
          </w:p>
          <w:p w14:paraId="5068CCDF" w14:textId="77777777" w:rsidR="00F20A90" w:rsidRPr="006C59A6" w:rsidRDefault="00F20A90" w:rsidP="003C4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6C59A6">
              <w:rPr>
                <w:rFonts w:cstheme="minorHAnsi"/>
                <w:sz w:val="20"/>
                <w:szCs w:val="20"/>
              </w:rPr>
              <w:t>2026. – 3</w:t>
            </w:r>
          </w:p>
          <w:p w14:paraId="5F887707" w14:textId="77777777" w:rsidR="00BD479D" w:rsidRPr="006C59A6" w:rsidRDefault="006A1479" w:rsidP="003C4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6C59A6">
              <w:rPr>
                <w:rFonts w:cstheme="minorHAnsi"/>
                <w:sz w:val="20"/>
                <w:szCs w:val="20"/>
              </w:rPr>
              <w:t xml:space="preserve">2027. – </w:t>
            </w:r>
            <w:r w:rsidR="00F20A90" w:rsidRPr="006C59A6">
              <w:rPr>
                <w:rFonts w:cstheme="minorHAnsi"/>
                <w:sz w:val="20"/>
                <w:szCs w:val="20"/>
              </w:rPr>
              <w:t>2</w:t>
            </w:r>
          </w:p>
          <w:p w14:paraId="114B3697" w14:textId="77777777" w:rsidR="007945FE" w:rsidRPr="006C59A6" w:rsidRDefault="007945FE" w:rsidP="003C4E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C4E20" w:rsidRPr="003C4E20" w14:paraId="5A271321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1B6C2BE1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9" w:type="pct"/>
          </w:tcPr>
          <w:p w14:paraId="1FDC1BE6" w14:textId="77777777" w:rsidR="003C4E20" w:rsidRPr="00BD479D" w:rsidRDefault="2D8BB938" w:rsidP="00362998">
            <w:pPr>
              <w:jc w:val="both"/>
              <w:rPr>
                <w:sz w:val="20"/>
                <w:szCs w:val="20"/>
              </w:rPr>
            </w:pPr>
            <w:r w:rsidRPr="1BBEE06B">
              <w:rPr>
                <w:sz w:val="20"/>
                <w:szCs w:val="20"/>
              </w:rPr>
              <w:t>92.798.698,00 EUR</w:t>
            </w:r>
          </w:p>
        </w:tc>
      </w:tr>
      <w:tr w:rsidR="003C4E20" w:rsidRPr="003C4E20" w14:paraId="4BCE714D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2815CB41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9" w:type="pct"/>
          </w:tcPr>
          <w:p w14:paraId="67235686" w14:textId="77777777" w:rsidR="000B58E0" w:rsidRPr="000B58E0" w:rsidRDefault="000B58E0" w:rsidP="000B58E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B58E0">
              <w:rPr>
                <w:rFonts w:asciiTheme="minorHAnsi" w:hAnsiTheme="minorHAnsi" w:cstheme="minorHAnsi"/>
                <w:sz w:val="20"/>
                <w:szCs w:val="20"/>
              </w:rPr>
              <w:t xml:space="preserve">A587001 Turistička promidžba </w:t>
            </w:r>
            <w:r w:rsidR="00DD4E69">
              <w:rPr>
                <w:rFonts w:asciiTheme="minorHAnsi" w:hAnsiTheme="minorHAnsi" w:cstheme="minorHAnsi"/>
                <w:sz w:val="20"/>
                <w:szCs w:val="20"/>
              </w:rPr>
              <w:t xml:space="preserve">i posebni projekti </w:t>
            </w:r>
            <w:r w:rsidRPr="000B58E0">
              <w:rPr>
                <w:rFonts w:asciiTheme="minorHAnsi" w:hAnsiTheme="minorHAnsi" w:cstheme="minorHAnsi"/>
                <w:sz w:val="20"/>
                <w:szCs w:val="20"/>
              </w:rPr>
              <w:t xml:space="preserve">Republike Hrvatske </w:t>
            </w:r>
          </w:p>
          <w:p w14:paraId="51BB51AF" w14:textId="77777777" w:rsidR="000B58E0" w:rsidRPr="000B58E0" w:rsidRDefault="5126613E" w:rsidP="1BBEE06B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1BBEE06B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2026. – 2027. = </w:t>
            </w:r>
            <w:r w:rsidR="135DDE20" w:rsidRPr="1BBEE06B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3.119.500,00 </w:t>
            </w:r>
            <w:r w:rsidRPr="1BBEE06B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* 2 = </w:t>
            </w:r>
            <w:r w:rsidR="769DED64" w:rsidRPr="1BBEE06B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6.239.000</w:t>
            </w:r>
            <w:r w:rsidRPr="1BBEE06B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,00 EUR</w:t>
            </w:r>
            <w:r w:rsidR="009214E7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(</w:t>
            </w:r>
            <w:r w:rsidR="009214E7" w:rsidRPr="006C59A6">
              <w:rPr>
                <w:rFonts w:asciiTheme="minorHAnsi" w:hAnsiTheme="minorHAnsi" w:cstheme="minorBidi"/>
                <w:sz w:val="20"/>
                <w:szCs w:val="20"/>
              </w:rPr>
              <w:t xml:space="preserve">izvor </w:t>
            </w:r>
            <w:r w:rsidR="009214E7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11)</w:t>
            </w:r>
          </w:p>
          <w:p w14:paraId="1A397BD8" w14:textId="77777777" w:rsidR="000B58E0" w:rsidRPr="000B58E0" w:rsidRDefault="000B58E0" w:rsidP="000B58E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50DC12" w14:textId="77777777" w:rsidR="000B58E0" w:rsidRPr="000B58E0" w:rsidRDefault="000B58E0" w:rsidP="000B58E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58E0">
              <w:rPr>
                <w:rFonts w:asciiTheme="minorHAnsi" w:hAnsiTheme="minorHAnsi" w:cstheme="minorHAnsi"/>
                <w:sz w:val="20"/>
                <w:szCs w:val="20"/>
              </w:rPr>
              <w:t xml:space="preserve">Proračun HTZ-a (svi prihodi HTZ-a (bez DP) + fondovi): </w:t>
            </w:r>
          </w:p>
          <w:p w14:paraId="7B1766C4" w14:textId="77777777" w:rsidR="006A1479" w:rsidRPr="00BD479D" w:rsidRDefault="000B58E0" w:rsidP="000B58E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B58E0">
              <w:rPr>
                <w:rFonts w:cstheme="minorHAnsi"/>
                <w:sz w:val="20"/>
                <w:szCs w:val="20"/>
              </w:rPr>
              <w:t>2026. – 20</w:t>
            </w:r>
            <w:r>
              <w:rPr>
                <w:rFonts w:cstheme="minorHAnsi"/>
                <w:sz w:val="20"/>
                <w:szCs w:val="20"/>
              </w:rPr>
              <w:t xml:space="preserve">27. = 43.279.849,00 * 2 = </w:t>
            </w:r>
            <w:r w:rsidRPr="000B58E0">
              <w:rPr>
                <w:rFonts w:cstheme="minorHAnsi"/>
                <w:sz w:val="20"/>
                <w:szCs w:val="20"/>
              </w:rPr>
              <w:t xml:space="preserve">86.559.698,00 </w:t>
            </w:r>
            <w:r>
              <w:rPr>
                <w:rFonts w:cstheme="minorHAnsi"/>
                <w:color w:val="000000"/>
                <w:sz w:val="20"/>
                <w:szCs w:val="20"/>
              </w:rPr>
              <w:t>EUR</w:t>
            </w:r>
          </w:p>
        </w:tc>
      </w:tr>
      <w:tr w:rsidR="003C4E20" w:rsidRPr="003C4E20" w14:paraId="3D2D5311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49DD79CE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9" w:type="pct"/>
          </w:tcPr>
          <w:p w14:paraId="50969DB7" w14:textId="77777777" w:rsidR="003C4E20" w:rsidRPr="00BD479D" w:rsidRDefault="007A38FD" w:rsidP="003C4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BD479D">
              <w:rPr>
                <w:rFonts w:cstheme="minorHAnsi"/>
                <w:sz w:val="20"/>
                <w:szCs w:val="20"/>
              </w:rPr>
              <w:t>HTZ</w:t>
            </w:r>
          </w:p>
        </w:tc>
      </w:tr>
      <w:tr w:rsidR="003C4E20" w:rsidRPr="003C4E20" w14:paraId="4B858257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0ED887FF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9" w:type="pct"/>
          </w:tcPr>
          <w:p w14:paraId="23E60CCB" w14:textId="77777777" w:rsidR="003C4E20" w:rsidRPr="00BD479D" w:rsidRDefault="008910AF" w:rsidP="003C4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BD479D">
              <w:rPr>
                <w:rFonts w:cstheme="minorHAnsi"/>
                <w:sz w:val="20"/>
                <w:szCs w:val="20"/>
              </w:rPr>
              <w:t>MINTS</w:t>
            </w:r>
          </w:p>
        </w:tc>
      </w:tr>
      <w:tr w:rsidR="003C4E20" w:rsidRPr="003C4E20" w14:paraId="0D59EEFB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5BE61F17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29" w:type="pct"/>
          </w:tcPr>
          <w:p w14:paraId="2643AD3E" w14:textId="77777777" w:rsidR="003C4E20" w:rsidRPr="00BD479D" w:rsidRDefault="007A38FD" w:rsidP="007A38FD">
            <w:pPr>
              <w:jc w:val="both"/>
              <w:rPr>
                <w:rFonts w:cstheme="minorHAnsi"/>
                <w:sz w:val="20"/>
                <w:szCs w:val="20"/>
              </w:rPr>
            </w:pPr>
            <w:r w:rsidRPr="00BD479D">
              <w:rPr>
                <w:rFonts w:cstheme="minorHAnsi"/>
                <w:sz w:val="20"/>
                <w:szCs w:val="20"/>
              </w:rPr>
              <w:t>I</w:t>
            </w:r>
          </w:p>
        </w:tc>
      </w:tr>
    </w:tbl>
    <w:p w14:paraId="1D4AAF7D" w14:textId="6A47D695" w:rsidR="00BF0D39" w:rsidRPr="005276E2" w:rsidRDefault="00BF0D39" w:rsidP="003C4E2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06"/>
        <w:tblW w:w="5000" w:type="pct"/>
        <w:tblLook w:val="04A0" w:firstRow="1" w:lastRow="0" w:firstColumn="1" w:lastColumn="0" w:noHBand="0" w:noVBand="1"/>
      </w:tblPr>
      <w:tblGrid>
        <w:gridCol w:w="3013"/>
        <w:gridCol w:w="6003"/>
      </w:tblGrid>
      <w:tr w:rsidR="003C4E20" w:rsidRPr="003C4E20" w14:paraId="053938AD" w14:textId="77777777" w:rsidTr="1BBEE06B">
        <w:tc>
          <w:tcPr>
            <w:tcW w:w="5000" w:type="pct"/>
            <w:gridSpan w:val="2"/>
            <w:shd w:val="clear" w:color="auto" w:fill="BDD6EE" w:themeFill="accent1" w:themeFillTint="66"/>
          </w:tcPr>
          <w:p w14:paraId="553B0BC7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21" w:name="_Toc136497264"/>
            <w:bookmarkStart w:id="22" w:name="_Toc140856014"/>
            <w:bookmarkStart w:id="23" w:name="_Toc141982412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2.2.</w:t>
            </w:r>
            <w:bookmarkEnd w:id="21"/>
            <w:bookmarkEnd w:id="22"/>
            <w:bookmarkEnd w:id="23"/>
          </w:p>
          <w:p w14:paraId="553FA211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24" w:name="_Toc140856015"/>
            <w:bookmarkStart w:id="25" w:name="_Toc141982413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Promocija hrvatske turističke ponude</w:t>
            </w:r>
            <w:r w:rsidRPr="003C4E20" w:rsidDel="00932525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 xml:space="preserve"> </w:t>
            </w:r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na emitivnim tržištima i na domaćem tržištu</w:t>
            </w:r>
            <w:bookmarkEnd w:id="24"/>
            <w:bookmarkEnd w:id="25"/>
          </w:p>
        </w:tc>
      </w:tr>
      <w:tr w:rsidR="003C4E20" w:rsidRPr="003C4E20" w14:paraId="45C39BAC" w14:textId="77777777" w:rsidTr="1BBEE06B">
        <w:trPr>
          <w:trHeight w:val="1454"/>
        </w:trPr>
        <w:tc>
          <w:tcPr>
            <w:tcW w:w="1671" w:type="pct"/>
            <w:shd w:val="clear" w:color="auto" w:fill="DEEAF6" w:themeFill="accent1" w:themeFillTint="33"/>
          </w:tcPr>
          <w:p w14:paraId="7F3FF7CC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9" w:type="pct"/>
          </w:tcPr>
          <w:p w14:paraId="54123ABB" w14:textId="1BB94E45" w:rsidR="008C3579" w:rsidRDefault="007A38FD" w:rsidP="003C4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59678B">
              <w:rPr>
                <w:rFonts w:cstheme="minorHAnsi"/>
                <w:sz w:val="20"/>
                <w:szCs w:val="20"/>
              </w:rPr>
              <w:t xml:space="preserve">S ciljem ostvarivanja cjelogodišnjeg i regionalno uravnoteženog turizma provodit će se aktivnosti koje će pozicionirati </w:t>
            </w:r>
            <w:r w:rsidR="00F4194C">
              <w:rPr>
                <w:rFonts w:cstheme="minorHAnsi"/>
                <w:sz w:val="20"/>
                <w:szCs w:val="20"/>
              </w:rPr>
              <w:t xml:space="preserve">Republiku </w:t>
            </w:r>
            <w:r w:rsidRPr="0059678B">
              <w:rPr>
                <w:rFonts w:cstheme="minorHAnsi"/>
                <w:sz w:val="20"/>
                <w:szCs w:val="20"/>
              </w:rPr>
              <w:t xml:space="preserve">Hrvatsku na turističkim tržištima kao visokokvalitetnu destinaciju cjelogodišnjega i autentičnoga održivoga turizma. Osim toga, izradit će se </w:t>
            </w:r>
            <w:r w:rsidRPr="00331A0F">
              <w:rPr>
                <w:rFonts w:cstheme="minorHAnsi"/>
                <w:sz w:val="20"/>
                <w:szCs w:val="20"/>
              </w:rPr>
              <w:t>komunikacijska strategija</w:t>
            </w:r>
            <w:r w:rsidRPr="0059678B">
              <w:rPr>
                <w:rFonts w:cstheme="minorHAnsi"/>
                <w:sz w:val="20"/>
                <w:szCs w:val="20"/>
              </w:rPr>
              <w:t>, a provodit će se aktivnosti oglašavanja, odnosa s medijima, aktivnosti na online i offline kanalima te razne inovativne i kreativne kampanje</w:t>
            </w:r>
            <w:r w:rsidR="00A63C22">
              <w:rPr>
                <w:rFonts w:cstheme="minorHAnsi"/>
                <w:sz w:val="20"/>
                <w:szCs w:val="20"/>
              </w:rPr>
              <w:t xml:space="preserve"> na stranim i domaćem tržištu</w:t>
            </w:r>
            <w:r w:rsidR="008C3579">
              <w:rPr>
                <w:rFonts w:cstheme="minorHAnsi"/>
                <w:sz w:val="20"/>
                <w:szCs w:val="20"/>
              </w:rPr>
              <w:t>.</w:t>
            </w:r>
            <w:r w:rsidR="00046D5B">
              <w:rPr>
                <w:rFonts w:cstheme="minorHAnsi"/>
                <w:sz w:val="20"/>
                <w:szCs w:val="20"/>
              </w:rPr>
              <w:t xml:space="preserve"> Na domaćem tržišt</w:t>
            </w:r>
            <w:r w:rsidR="00C75C7A">
              <w:rPr>
                <w:rFonts w:cstheme="minorHAnsi"/>
                <w:sz w:val="20"/>
                <w:szCs w:val="20"/>
              </w:rPr>
              <w:t xml:space="preserve">u će putem platnog instrumenta </w:t>
            </w:r>
            <w:r w:rsidR="00046D5B" w:rsidRPr="00046D5B">
              <w:rPr>
                <w:rFonts w:cstheme="minorHAnsi"/>
                <w:sz w:val="20"/>
                <w:szCs w:val="20"/>
              </w:rPr>
              <w:t>„Hrvatska turistička kartica“</w:t>
            </w:r>
            <w:r w:rsidR="00046D5B">
              <w:rPr>
                <w:rFonts w:cstheme="minorHAnsi"/>
                <w:sz w:val="20"/>
                <w:szCs w:val="20"/>
              </w:rPr>
              <w:t xml:space="preserve"> biti </w:t>
            </w:r>
            <w:r w:rsidR="00046D5B" w:rsidRPr="00046D5B">
              <w:rPr>
                <w:rFonts w:cstheme="minorHAnsi"/>
                <w:sz w:val="20"/>
                <w:szCs w:val="20"/>
              </w:rPr>
              <w:t>omogućen pristupačniji odmor kroz povećanje primitaka po osnovi rada</w:t>
            </w:r>
            <w:r w:rsidR="00046D5B">
              <w:rPr>
                <w:rFonts w:cstheme="minorHAnsi"/>
                <w:sz w:val="20"/>
                <w:szCs w:val="20"/>
              </w:rPr>
              <w:t>.</w:t>
            </w:r>
          </w:p>
          <w:p w14:paraId="5A63E7E1" w14:textId="77777777" w:rsidR="003C4E20" w:rsidRPr="00362998" w:rsidRDefault="00362998" w:rsidP="00362998">
            <w:pPr>
              <w:tabs>
                <w:tab w:val="left" w:pos="144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3C4E20" w:rsidRPr="003C4E20" w14:paraId="5AE86559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7C37F5C4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9" w:type="pct"/>
          </w:tcPr>
          <w:p w14:paraId="09DC49B5" w14:textId="77777777" w:rsidR="003C4E20" w:rsidRPr="0059678B" w:rsidRDefault="007A38FD" w:rsidP="003C4E2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678B">
              <w:rPr>
                <w:rFonts w:cstheme="minorHAnsi"/>
                <w:color w:val="000000" w:themeColor="text1"/>
                <w:sz w:val="20"/>
                <w:szCs w:val="20"/>
              </w:rPr>
              <w:t>Broj provedenih marketinških aktivnosti</w:t>
            </w:r>
          </w:p>
          <w:p w14:paraId="63044EA3" w14:textId="77777777" w:rsidR="00BF0D39" w:rsidRPr="0059678B" w:rsidRDefault="00BF0D39" w:rsidP="00BF0D39">
            <w:pPr>
              <w:jc w:val="both"/>
              <w:rPr>
                <w:rFonts w:cstheme="minorHAnsi"/>
                <w:sz w:val="20"/>
                <w:szCs w:val="20"/>
              </w:rPr>
            </w:pPr>
            <w:r w:rsidRPr="0059678B">
              <w:rPr>
                <w:rFonts w:cstheme="minorHAnsi"/>
                <w:sz w:val="20"/>
                <w:szCs w:val="20"/>
              </w:rPr>
              <w:t>2026. – 40</w:t>
            </w:r>
          </w:p>
          <w:p w14:paraId="3749B1A9" w14:textId="77777777" w:rsidR="00BF0D39" w:rsidRDefault="00BF0D39" w:rsidP="00BF0D39">
            <w:pPr>
              <w:jc w:val="both"/>
              <w:rPr>
                <w:rFonts w:cstheme="minorHAnsi"/>
                <w:sz w:val="20"/>
                <w:szCs w:val="20"/>
              </w:rPr>
            </w:pPr>
            <w:r w:rsidRPr="0059678B">
              <w:rPr>
                <w:rFonts w:cstheme="minorHAnsi"/>
                <w:sz w:val="20"/>
                <w:szCs w:val="20"/>
              </w:rPr>
              <w:t>2027. – 40</w:t>
            </w:r>
          </w:p>
          <w:p w14:paraId="21317032" w14:textId="77777777" w:rsidR="00A63C22" w:rsidRDefault="00A63C22" w:rsidP="00BF0D3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0A9F2CD" w14:textId="77777777" w:rsidR="00A63C22" w:rsidRDefault="00A63C22" w:rsidP="00BF0D3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Broj novo izdanih turističkih kartica</w:t>
            </w:r>
          </w:p>
          <w:p w14:paraId="12D464A3" w14:textId="77777777" w:rsidR="00A63C22" w:rsidRDefault="00A63C22" w:rsidP="00BF0D3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2026. – </w:t>
            </w:r>
            <w:r w:rsidR="008C3579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000</w:t>
            </w:r>
          </w:p>
          <w:p w14:paraId="79258399" w14:textId="77777777" w:rsidR="00A63C22" w:rsidRDefault="00A63C22" w:rsidP="00BF0D3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2027. </w:t>
            </w:r>
            <w:r w:rsidR="00295DF9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C3579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000</w:t>
            </w:r>
          </w:p>
          <w:p w14:paraId="2F368DBD" w14:textId="77777777" w:rsidR="00295DF9" w:rsidRPr="005276E2" w:rsidRDefault="00295DF9" w:rsidP="00BF0D3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C4E20" w:rsidRPr="003C4E20" w14:paraId="3BA3FD76" w14:textId="77777777" w:rsidTr="004C5EA7">
        <w:tc>
          <w:tcPr>
            <w:tcW w:w="1671" w:type="pct"/>
            <w:shd w:val="clear" w:color="auto" w:fill="DEEAF6" w:themeFill="accent1" w:themeFillTint="33"/>
          </w:tcPr>
          <w:p w14:paraId="2084F16F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9" w:type="pct"/>
          </w:tcPr>
          <w:p w14:paraId="272EEA98" w14:textId="45CD557E" w:rsidR="009C2D20" w:rsidRPr="0059678B" w:rsidRDefault="00D5364B" w:rsidP="1BBEE06B">
            <w:pPr>
              <w:pStyle w:val="Default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D5364B">
              <w:rPr>
                <w:rFonts w:asciiTheme="minorHAnsi" w:hAnsiTheme="minorHAnsi" w:cstheme="minorBidi"/>
                <w:sz w:val="20"/>
                <w:szCs w:val="20"/>
              </w:rPr>
              <w:t>55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  <w:r w:rsidRPr="00D5364B">
              <w:rPr>
                <w:rFonts w:asciiTheme="minorHAnsi" w:hAnsiTheme="minorHAnsi" w:cstheme="minorBidi"/>
                <w:sz w:val="20"/>
                <w:szCs w:val="20"/>
              </w:rPr>
              <w:t>240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  <w:r w:rsidRPr="00D5364B">
              <w:rPr>
                <w:rFonts w:asciiTheme="minorHAnsi" w:hAnsiTheme="minorHAnsi" w:cstheme="minorBidi"/>
                <w:sz w:val="20"/>
                <w:szCs w:val="20"/>
              </w:rPr>
              <w:t>800</w:t>
            </w:r>
            <w:r w:rsidR="04FB64CE" w:rsidRPr="004C5EA7">
              <w:rPr>
                <w:rFonts w:asciiTheme="minorHAnsi" w:hAnsiTheme="minorHAnsi" w:cstheme="minorBidi"/>
                <w:sz w:val="20"/>
                <w:szCs w:val="20"/>
              </w:rPr>
              <w:t>,00 EUR</w:t>
            </w:r>
          </w:p>
          <w:p w14:paraId="4DEA96B2" w14:textId="77777777" w:rsidR="003C4E20" w:rsidRPr="005276E2" w:rsidRDefault="003C4E20" w:rsidP="003C4E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C4E20" w:rsidRPr="003C4E20" w14:paraId="529AEFE0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1D3F66B2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9" w:type="pct"/>
          </w:tcPr>
          <w:p w14:paraId="24537170" w14:textId="7210F419" w:rsidR="009C2D20" w:rsidRPr="0059678B" w:rsidRDefault="00C75C7A" w:rsidP="1BBEE06B">
            <w:pPr>
              <w:pStyle w:val="Default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A587001</w:t>
            </w:r>
            <w:r w:rsidR="00DD4E69">
              <w:t xml:space="preserve"> </w:t>
            </w:r>
            <w:r w:rsidR="00DD4E69" w:rsidRPr="00DD4E69">
              <w:rPr>
                <w:rFonts w:asciiTheme="minorHAnsi" w:hAnsiTheme="minorHAnsi" w:cstheme="minorBidi"/>
                <w:sz w:val="20"/>
                <w:szCs w:val="20"/>
              </w:rPr>
              <w:t>Turistička promidžba i posebni projekti Republike Hrvatske</w:t>
            </w:r>
          </w:p>
          <w:p w14:paraId="068ED423" w14:textId="2BDC4CCE" w:rsidR="00125277" w:rsidRPr="006C59A6" w:rsidRDefault="25F9046C" w:rsidP="1BBEE06B">
            <w:pPr>
              <w:pStyle w:val="Default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1BBEE06B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202</w:t>
            </w:r>
            <w:r w:rsidR="5651E1A4" w:rsidRPr="1BBEE06B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6</w:t>
            </w:r>
            <w:r w:rsidRPr="1BBEE06B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. – </w:t>
            </w:r>
            <w:r w:rsidR="00125277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3.119.500,00 (</w:t>
            </w:r>
            <w:r w:rsidR="00125277" w:rsidRPr="006C59A6">
              <w:rPr>
                <w:rFonts w:asciiTheme="minorHAnsi" w:hAnsiTheme="minorHAnsi" w:cstheme="minorBidi"/>
                <w:sz w:val="20"/>
                <w:szCs w:val="20"/>
              </w:rPr>
              <w:t>izvor 11)</w:t>
            </w:r>
          </w:p>
          <w:p w14:paraId="3033A710" w14:textId="0A336BFB" w:rsidR="009C2D20" w:rsidRPr="006C59A6" w:rsidRDefault="25F9046C" w:rsidP="1BBEE06B">
            <w:pPr>
              <w:pStyle w:val="Default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6C59A6">
              <w:rPr>
                <w:rFonts w:asciiTheme="minorHAnsi" w:hAnsiTheme="minorHAnsi" w:cstheme="minorBidi"/>
                <w:sz w:val="20"/>
                <w:szCs w:val="20"/>
              </w:rPr>
              <w:t>2027.</w:t>
            </w:r>
            <w:r w:rsidR="00125277" w:rsidRPr="006C59A6">
              <w:rPr>
                <w:rFonts w:asciiTheme="minorHAnsi" w:hAnsiTheme="minorHAnsi" w:cstheme="minorBidi"/>
                <w:sz w:val="20"/>
                <w:szCs w:val="20"/>
              </w:rPr>
              <w:t xml:space="preserve"> – 2.</w:t>
            </w:r>
            <w:r w:rsidR="0018138D" w:rsidRPr="006C59A6">
              <w:rPr>
                <w:rFonts w:asciiTheme="minorHAnsi" w:hAnsiTheme="minorHAnsi" w:cstheme="minorBidi"/>
                <w:sz w:val="20"/>
                <w:szCs w:val="20"/>
              </w:rPr>
              <w:t>58</w:t>
            </w:r>
            <w:r w:rsidR="00125277" w:rsidRPr="006C59A6">
              <w:rPr>
                <w:rFonts w:asciiTheme="minorHAnsi" w:hAnsiTheme="minorHAnsi" w:cstheme="minorBidi"/>
                <w:sz w:val="20"/>
                <w:szCs w:val="20"/>
              </w:rPr>
              <w:t>0.304</w:t>
            </w:r>
            <w:r w:rsidR="4E9A1FB8" w:rsidRPr="006C59A6">
              <w:rPr>
                <w:rFonts w:asciiTheme="minorHAnsi" w:hAnsiTheme="minorHAnsi" w:cstheme="minorBidi"/>
                <w:sz w:val="20"/>
                <w:szCs w:val="20"/>
              </w:rPr>
              <w:t>,00 EUR</w:t>
            </w:r>
            <w:r w:rsidR="009214E7" w:rsidRPr="006C59A6">
              <w:rPr>
                <w:rFonts w:asciiTheme="minorHAnsi" w:hAnsiTheme="minorHAnsi" w:cstheme="minorBidi"/>
                <w:sz w:val="20"/>
                <w:szCs w:val="20"/>
              </w:rPr>
              <w:t xml:space="preserve"> (izvor 11)</w:t>
            </w:r>
          </w:p>
          <w:p w14:paraId="489CCE54" w14:textId="77777777" w:rsidR="009C2D20" w:rsidRPr="0059678B" w:rsidRDefault="009C2D20" w:rsidP="009C2D2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A44B3A" w14:textId="77777777" w:rsidR="009C2D20" w:rsidRPr="0059678B" w:rsidRDefault="009C2D20" w:rsidP="009C2D2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678B">
              <w:rPr>
                <w:rFonts w:asciiTheme="minorHAnsi" w:hAnsiTheme="minorHAnsi" w:cstheme="minorHAnsi"/>
                <w:sz w:val="20"/>
                <w:szCs w:val="20"/>
              </w:rPr>
              <w:t xml:space="preserve">Proračun HTZ-a (izvorni prihodi HTZ-a od turističke pristojbe i turističke članarine): </w:t>
            </w:r>
          </w:p>
          <w:p w14:paraId="33E6BA53" w14:textId="7F653993" w:rsidR="00A63C22" w:rsidRDefault="009C2D20" w:rsidP="009C2D20">
            <w:pPr>
              <w:jc w:val="both"/>
              <w:rPr>
                <w:rFonts w:cstheme="minorHAnsi"/>
                <w:sz w:val="20"/>
                <w:szCs w:val="20"/>
              </w:rPr>
            </w:pPr>
            <w:r w:rsidRPr="0059678B">
              <w:rPr>
                <w:rFonts w:cstheme="minorHAnsi"/>
                <w:sz w:val="20"/>
                <w:szCs w:val="20"/>
              </w:rPr>
              <w:t>202</w:t>
            </w:r>
            <w:r w:rsidR="004F128C">
              <w:rPr>
                <w:rFonts w:cstheme="minorHAnsi"/>
                <w:sz w:val="20"/>
                <w:szCs w:val="20"/>
              </w:rPr>
              <w:t>6</w:t>
            </w:r>
            <w:r w:rsidRPr="0059678B">
              <w:rPr>
                <w:rFonts w:cstheme="minorHAnsi"/>
                <w:sz w:val="20"/>
                <w:szCs w:val="20"/>
              </w:rPr>
              <w:t>. – 2027</w:t>
            </w:r>
            <w:r w:rsidR="008B4722" w:rsidRPr="0059678B">
              <w:rPr>
                <w:rFonts w:cstheme="minorHAnsi"/>
                <w:sz w:val="20"/>
                <w:szCs w:val="20"/>
              </w:rPr>
              <w:t xml:space="preserve">. = 24.748.498,00 * </w:t>
            </w:r>
            <w:r w:rsidR="004F128C">
              <w:rPr>
                <w:rFonts w:cstheme="minorHAnsi"/>
                <w:sz w:val="20"/>
                <w:szCs w:val="20"/>
              </w:rPr>
              <w:t>2</w:t>
            </w:r>
            <w:r w:rsidR="008B4722" w:rsidRPr="0059678B">
              <w:rPr>
                <w:rFonts w:cstheme="minorHAnsi"/>
                <w:sz w:val="20"/>
                <w:szCs w:val="20"/>
              </w:rPr>
              <w:t xml:space="preserve"> </w:t>
            </w:r>
            <w:r w:rsidRPr="0059678B">
              <w:rPr>
                <w:rFonts w:cstheme="minorHAnsi"/>
                <w:sz w:val="20"/>
                <w:szCs w:val="20"/>
              </w:rPr>
              <w:t xml:space="preserve">= </w:t>
            </w:r>
            <w:r w:rsidR="004F128C" w:rsidRPr="004F128C">
              <w:rPr>
                <w:rFonts w:cstheme="minorHAnsi"/>
                <w:sz w:val="20"/>
                <w:szCs w:val="20"/>
              </w:rPr>
              <w:t>49.496.996</w:t>
            </w:r>
            <w:r w:rsidR="004F128C">
              <w:rPr>
                <w:rFonts w:cstheme="minorHAnsi"/>
                <w:sz w:val="20"/>
                <w:szCs w:val="20"/>
              </w:rPr>
              <w:t>,00</w:t>
            </w:r>
          </w:p>
          <w:p w14:paraId="3586DC38" w14:textId="77777777" w:rsidR="008C3579" w:rsidRDefault="008C3579" w:rsidP="009C2D2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1BB108F" w14:textId="77777777" w:rsidR="009C2D20" w:rsidRPr="00046D5B" w:rsidRDefault="008C3579" w:rsidP="1BBEE06B">
            <w:pPr>
              <w:pStyle w:val="Default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046D5B">
              <w:rPr>
                <w:rFonts w:asciiTheme="minorHAnsi" w:hAnsiTheme="minorHAnsi" w:cstheme="minorBidi"/>
                <w:sz w:val="20"/>
                <w:szCs w:val="20"/>
              </w:rPr>
              <w:t xml:space="preserve">A587060 </w:t>
            </w:r>
            <w:r w:rsidR="00046D5B" w:rsidRPr="00046D5B">
              <w:rPr>
                <w:rFonts w:asciiTheme="minorHAnsi" w:hAnsiTheme="minorHAnsi" w:cstheme="minorBidi"/>
                <w:sz w:val="20"/>
                <w:szCs w:val="20"/>
              </w:rPr>
              <w:t>Mjera za poticanje potrošnje u ugostiteljstvu i turizmu radnika u RH</w:t>
            </w:r>
          </w:p>
          <w:p w14:paraId="50770AFA" w14:textId="77777777" w:rsidR="00046D5B" w:rsidRPr="00046D5B" w:rsidRDefault="00046D5B" w:rsidP="1BBEE06B">
            <w:pPr>
              <w:pStyle w:val="Default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046D5B">
              <w:rPr>
                <w:rFonts w:asciiTheme="minorHAnsi" w:hAnsiTheme="minorHAnsi" w:cstheme="minorBidi"/>
                <w:sz w:val="20"/>
                <w:szCs w:val="20"/>
              </w:rPr>
              <w:t>2026. – 12.000,00 EUR</w:t>
            </w:r>
            <w:r w:rsidR="009214E7">
              <w:rPr>
                <w:rFonts w:asciiTheme="minorHAnsi" w:hAnsiTheme="minorHAnsi" w:cstheme="minorBidi"/>
                <w:sz w:val="20"/>
                <w:szCs w:val="20"/>
              </w:rPr>
              <w:t xml:space="preserve"> (izvor 11)</w:t>
            </w:r>
          </w:p>
          <w:p w14:paraId="01ECE82C" w14:textId="77777777" w:rsidR="00046D5B" w:rsidRPr="00046D5B" w:rsidRDefault="00046D5B" w:rsidP="00046D5B">
            <w:pPr>
              <w:pStyle w:val="Default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046D5B">
              <w:rPr>
                <w:rFonts w:asciiTheme="minorHAnsi" w:hAnsiTheme="minorHAnsi" w:cstheme="minorBidi"/>
                <w:sz w:val="20"/>
                <w:szCs w:val="20"/>
              </w:rPr>
              <w:t>2027. – 12.000,00 EUR</w:t>
            </w:r>
            <w:r w:rsidR="009214E7">
              <w:rPr>
                <w:rFonts w:asciiTheme="minorHAnsi" w:hAnsiTheme="minorHAnsi" w:cstheme="minorBidi"/>
                <w:sz w:val="20"/>
                <w:szCs w:val="20"/>
              </w:rPr>
              <w:t xml:space="preserve"> (izvor 11)</w:t>
            </w:r>
          </w:p>
          <w:p w14:paraId="7893A12B" w14:textId="77777777" w:rsidR="00046D5B" w:rsidRPr="0059678B" w:rsidRDefault="00046D5B" w:rsidP="1BBEE06B">
            <w:pPr>
              <w:pStyle w:val="Default"/>
              <w:jc w:val="both"/>
              <w:rPr>
                <w:rFonts w:asciiTheme="minorHAnsi" w:hAnsiTheme="minorHAnsi" w:cstheme="minorBidi"/>
                <w:sz w:val="12"/>
                <w:szCs w:val="12"/>
              </w:rPr>
            </w:pPr>
          </w:p>
        </w:tc>
      </w:tr>
      <w:tr w:rsidR="003C4E20" w:rsidRPr="003C4E20" w14:paraId="264F1CFF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1CF13B85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9" w:type="pct"/>
          </w:tcPr>
          <w:p w14:paraId="6D851A4E" w14:textId="77777777" w:rsidR="003C4E20" w:rsidRPr="0059678B" w:rsidRDefault="007A38FD" w:rsidP="003C4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59678B">
              <w:rPr>
                <w:rFonts w:cstheme="minorHAnsi"/>
                <w:sz w:val="20"/>
                <w:szCs w:val="20"/>
              </w:rPr>
              <w:t>HTZ</w:t>
            </w:r>
          </w:p>
        </w:tc>
      </w:tr>
      <w:tr w:rsidR="003C4E20" w:rsidRPr="003C4E20" w14:paraId="52A9F32E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44182373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9" w:type="pct"/>
          </w:tcPr>
          <w:p w14:paraId="6D14D12F" w14:textId="77777777" w:rsidR="003C4E20" w:rsidRPr="0059678B" w:rsidRDefault="009C2D20" w:rsidP="003C4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59678B">
              <w:rPr>
                <w:rFonts w:cstheme="minorHAnsi"/>
                <w:sz w:val="20"/>
                <w:szCs w:val="20"/>
              </w:rPr>
              <w:t>MINTS</w:t>
            </w:r>
          </w:p>
        </w:tc>
      </w:tr>
      <w:tr w:rsidR="003C4E20" w:rsidRPr="003C4E20" w14:paraId="41FCA917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5CE31655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Oznaka mjere </w:t>
            </w:r>
          </w:p>
        </w:tc>
        <w:tc>
          <w:tcPr>
            <w:tcW w:w="3329" w:type="pct"/>
          </w:tcPr>
          <w:p w14:paraId="0EDCA6EE" w14:textId="77777777" w:rsidR="003C4E20" w:rsidRPr="0059678B" w:rsidRDefault="007A38FD" w:rsidP="003C4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59678B">
              <w:rPr>
                <w:rFonts w:cstheme="minorHAnsi"/>
                <w:sz w:val="20"/>
                <w:szCs w:val="20"/>
              </w:rPr>
              <w:t>I</w:t>
            </w:r>
          </w:p>
        </w:tc>
      </w:tr>
    </w:tbl>
    <w:p w14:paraId="14EFACC7" w14:textId="77777777" w:rsidR="003C4E20" w:rsidRDefault="003C4E20" w:rsidP="003C4E20">
      <w:pPr>
        <w:ind w:firstLine="708"/>
        <w:rPr>
          <w:rFonts w:ascii="Times New Roman" w:hAnsi="Times New Roman" w:cs="Times New Roman"/>
        </w:rPr>
      </w:pPr>
    </w:p>
    <w:p w14:paraId="7FEC2F94" w14:textId="0CD766D3" w:rsidR="00AB000E" w:rsidRPr="003C4E20" w:rsidRDefault="00AB000E" w:rsidP="005276E2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00"/>
        <w:gridCol w:w="2997"/>
        <w:gridCol w:w="2999"/>
      </w:tblGrid>
      <w:tr w:rsidR="003C4E20" w:rsidRPr="003C4E20" w14:paraId="37D12CAF" w14:textId="77777777" w:rsidTr="003C4E20">
        <w:tc>
          <w:tcPr>
            <w:tcW w:w="5000" w:type="pct"/>
            <w:gridSpan w:val="3"/>
            <w:shd w:val="clear" w:color="auto" w:fill="002060"/>
          </w:tcPr>
          <w:p w14:paraId="22EA459E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26" w:name="_Toc140856016"/>
            <w:bookmarkStart w:id="27" w:name="_Toc141982414"/>
            <w:r w:rsidRPr="003C4E20">
              <w:rPr>
                <w:rFonts w:eastAsiaTheme="majorEastAsia"/>
                <w:color w:val="2E74B5" w:themeColor="accent1" w:themeShade="BF"/>
                <w:sz w:val="28"/>
                <w:szCs w:val="32"/>
              </w:rPr>
              <w:t>Posebni cilj 3.</w:t>
            </w:r>
            <w:bookmarkEnd w:id="26"/>
            <w:bookmarkEnd w:id="27"/>
          </w:p>
          <w:p w14:paraId="107D73D3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28" w:name="_Toc140856017"/>
            <w:bookmarkStart w:id="29" w:name="_Toc141982415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>SMANJENJE NEGATIVNOG UTJECAJA TURIZMA NA SASTAVNICE OKOLIŠA, PRIRODU I PROSTOR</w:t>
            </w:r>
            <w:bookmarkEnd w:id="28"/>
            <w:bookmarkEnd w:id="29"/>
          </w:p>
        </w:tc>
      </w:tr>
      <w:tr w:rsidR="003C4E20" w:rsidRPr="003C4E20" w14:paraId="61C76CB0" w14:textId="77777777" w:rsidTr="003C4E20">
        <w:tc>
          <w:tcPr>
            <w:tcW w:w="1667" w:type="pct"/>
            <w:shd w:val="clear" w:color="auto" w:fill="DEEAF6" w:themeFill="accent1" w:themeFillTint="33"/>
          </w:tcPr>
          <w:p w14:paraId="6EAC16E7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ishoda</w:t>
            </w:r>
          </w:p>
        </w:tc>
        <w:tc>
          <w:tcPr>
            <w:tcW w:w="1666" w:type="pct"/>
            <w:shd w:val="clear" w:color="auto" w:fill="DEEAF6" w:themeFill="accent1" w:themeFillTint="33"/>
          </w:tcPr>
          <w:p w14:paraId="5AF79A3F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Početna vrijednost pokazatelja ishoda 2019.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67E54650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Ciljana vrijednost pokazatelja ishoda 2027.*</w:t>
            </w:r>
          </w:p>
        </w:tc>
      </w:tr>
      <w:tr w:rsidR="003C4E20" w:rsidRPr="003C4E20" w14:paraId="18BB393A" w14:textId="77777777" w:rsidTr="003C4E20">
        <w:tc>
          <w:tcPr>
            <w:tcW w:w="1667" w:type="pct"/>
            <w:vAlign w:val="center"/>
          </w:tcPr>
          <w:p w14:paraId="3AA17EEB" w14:textId="77777777" w:rsidR="003C4E20" w:rsidRPr="003C4E20" w:rsidRDefault="009A2C6A" w:rsidP="00A64BBA">
            <w:pPr>
              <w:jc w:val="both"/>
              <w:rPr>
                <w:sz w:val="20"/>
                <w:szCs w:val="20"/>
              </w:rPr>
            </w:pPr>
            <w:r w:rsidRPr="009A2C6A">
              <w:rPr>
                <w:sz w:val="20"/>
                <w:szCs w:val="20"/>
              </w:rPr>
              <w:t>OI.02.8.61</w:t>
            </w:r>
            <w:r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 xml:space="preserve">Udio potrošnje vode turista u ukupnoj potrošnji vode na razini </w:t>
            </w:r>
            <w:r w:rsidR="00A64BBA">
              <w:rPr>
                <w:sz w:val="20"/>
                <w:szCs w:val="20"/>
              </w:rPr>
              <w:t>Republike Hrvatske</w:t>
            </w:r>
            <w:r w:rsidR="00A64BBA" w:rsidRPr="003C4E20"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>(DSZ prema Eurostat metodi)</w:t>
            </w:r>
          </w:p>
        </w:tc>
        <w:tc>
          <w:tcPr>
            <w:tcW w:w="1666" w:type="pct"/>
            <w:vAlign w:val="center"/>
          </w:tcPr>
          <w:p w14:paraId="608ED52F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6,4 %</w:t>
            </w:r>
          </w:p>
        </w:tc>
        <w:tc>
          <w:tcPr>
            <w:tcW w:w="1667" w:type="pct"/>
            <w:vAlign w:val="center"/>
          </w:tcPr>
          <w:p w14:paraId="629567C7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6,3 %</w:t>
            </w:r>
          </w:p>
        </w:tc>
      </w:tr>
      <w:tr w:rsidR="003C4E20" w:rsidRPr="003C4E20" w14:paraId="047FA85A" w14:textId="77777777" w:rsidTr="003C4E20">
        <w:tc>
          <w:tcPr>
            <w:tcW w:w="1667" w:type="pct"/>
            <w:vAlign w:val="center"/>
          </w:tcPr>
          <w:p w14:paraId="618F2A2E" w14:textId="62C284B4" w:rsidR="003C4E20" w:rsidRPr="003C4E20" w:rsidRDefault="009A2C6A" w:rsidP="00331A0F">
            <w:pPr>
              <w:jc w:val="both"/>
              <w:rPr>
                <w:sz w:val="20"/>
                <w:szCs w:val="20"/>
              </w:rPr>
            </w:pPr>
            <w:r w:rsidRPr="009A2C6A">
              <w:rPr>
                <w:sz w:val="20"/>
                <w:szCs w:val="20"/>
              </w:rPr>
              <w:t>OI.02.8.54</w:t>
            </w:r>
            <w:r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 xml:space="preserve">Indeks razvoja putovanja i turizma (TTDI-WEF) – </w:t>
            </w:r>
            <w:r w:rsidR="00331A0F">
              <w:rPr>
                <w:sz w:val="20"/>
                <w:szCs w:val="20"/>
              </w:rPr>
              <w:t>Održivost potražnje</w:t>
            </w:r>
            <w:r w:rsidR="0012513F">
              <w:rPr>
                <w:sz w:val="20"/>
                <w:szCs w:val="20"/>
              </w:rPr>
              <w:t>**</w:t>
            </w:r>
          </w:p>
        </w:tc>
        <w:tc>
          <w:tcPr>
            <w:tcW w:w="1666" w:type="pct"/>
            <w:vAlign w:val="center"/>
          </w:tcPr>
          <w:p w14:paraId="4C5204D2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11</w:t>
            </w:r>
            <w:r w:rsidR="00331A0F">
              <w:rPr>
                <w:sz w:val="20"/>
                <w:szCs w:val="20"/>
              </w:rPr>
              <w:t>8</w:t>
            </w:r>
          </w:p>
        </w:tc>
        <w:tc>
          <w:tcPr>
            <w:tcW w:w="1667" w:type="pct"/>
            <w:vAlign w:val="center"/>
          </w:tcPr>
          <w:p w14:paraId="018FCB87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&lt; 10</w:t>
            </w:r>
            <w:r w:rsidR="00331A0F">
              <w:rPr>
                <w:sz w:val="20"/>
                <w:szCs w:val="20"/>
              </w:rPr>
              <w:t>1</w:t>
            </w:r>
          </w:p>
        </w:tc>
      </w:tr>
    </w:tbl>
    <w:p w14:paraId="306A41EA" w14:textId="77777777" w:rsidR="003C4E20" w:rsidRDefault="003C4E20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 w:rsidRPr="003C4E20">
        <w:rPr>
          <w:rFonts w:ascii="Times New Roman" w:hAnsi="Times New Roman" w:cs="Times New Roman"/>
          <w:i/>
          <w:sz w:val="16"/>
          <w:szCs w:val="18"/>
        </w:rPr>
        <w:t>* Sukladno Nacionalnom planu razvoja održivog turizma do 2027.</w:t>
      </w:r>
    </w:p>
    <w:p w14:paraId="05716413" w14:textId="0F00DADB" w:rsidR="0012513F" w:rsidRPr="003C4E20" w:rsidRDefault="0012513F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 xml:space="preserve">** </w:t>
      </w:r>
      <w:r w:rsidRPr="0012513F">
        <w:rPr>
          <w:rFonts w:ascii="Times New Roman" w:hAnsi="Times New Roman" w:cs="Times New Roman"/>
          <w:i/>
          <w:sz w:val="16"/>
          <w:szCs w:val="18"/>
        </w:rPr>
        <w:t>Vrijednosti su iskazane sukladno trenutno važećoj metodologiji</w:t>
      </w:r>
      <w:r>
        <w:rPr>
          <w:rFonts w:ascii="Times New Roman" w:hAnsi="Times New Roman" w:cs="Times New Roman"/>
          <w:i/>
          <w:sz w:val="16"/>
          <w:szCs w:val="18"/>
        </w:rPr>
        <w:t xml:space="preserve"> izračuna pokazatelja</w:t>
      </w:r>
    </w:p>
    <w:p w14:paraId="776F7C56" w14:textId="77777777" w:rsidR="008B4722" w:rsidRPr="003C4E20" w:rsidRDefault="008B4722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1"/>
        <w:gridCol w:w="6005"/>
      </w:tblGrid>
      <w:tr w:rsidR="003C4E20" w:rsidRPr="003C4E20" w14:paraId="3A37AAA7" w14:textId="77777777" w:rsidTr="003C4E20">
        <w:tc>
          <w:tcPr>
            <w:tcW w:w="5000" w:type="pct"/>
            <w:gridSpan w:val="2"/>
            <w:shd w:val="clear" w:color="auto" w:fill="BDD6EE" w:themeFill="accent1" w:themeFillTint="66"/>
          </w:tcPr>
          <w:p w14:paraId="0B01F75A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30" w:name="_Toc136497268"/>
            <w:bookmarkStart w:id="31" w:name="_Toc140856018"/>
            <w:bookmarkStart w:id="32" w:name="_Toc141982416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3.1.</w:t>
            </w:r>
            <w:bookmarkEnd w:id="30"/>
            <w:bookmarkEnd w:id="31"/>
            <w:bookmarkEnd w:id="32"/>
          </w:p>
          <w:p w14:paraId="657AFC8D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33" w:name="_Toc140856019"/>
            <w:bookmarkStart w:id="34" w:name="_Toc141982417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Poticati smanjenje pritisaka iz turizma na sastavnice okoliša i prirodu</w:t>
            </w:r>
            <w:bookmarkEnd w:id="33"/>
            <w:bookmarkEnd w:id="34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 xml:space="preserve"> </w:t>
            </w:r>
          </w:p>
        </w:tc>
      </w:tr>
      <w:tr w:rsidR="00D0611A" w:rsidRPr="003C4E20" w14:paraId="35709F09" w14:textId="77777777" w:rsidTr="003C4E20">
        <w:tc>
          <w:tcPr>
            <w:tcW w:w="1670" w:type="pct"/>
            <w:shd w:val="clear" w:color="auto" w:fill="DEEAF6" w:themeFill="accent1" w:themeFillTint="33"/>
          </w:tcPr>
          <w:p w14:paraId="049AA50F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30" w:type="pct"/>
          </w:tcPr>
          <w:p w14:paraId="3BBAE280" w14:textId="77777777" w:rsidR="00604108" w:rsidRDefault="00D0611A" w:rsidP="00604108">
            <w:pPr>
              <w:shd w:val="clear" w:color="auto" w:fill="FFFFFF"/>
              <w:jc w:val="both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31A0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Svrha mjere je poticati smanjivanje opterećenja iz turizma na sastavnice okoliša i prirodne resurse. Stoga će se podržavati okolišno prihvatljiva rješenja koja je moguće implementirati u poslovanje dionika u turizmu. Provodit će se aktivnosti koje će osigurati visoki stupanj razumijevanja nužnosti okolišno održivog turizma informiranjem i edukacijom te podizanjem kompetencija dionika u turizmu. Provodit će se tematske i integrirane radionice o održivosti u turizmu</w:t>
            </w:r>
            <w:r w:rsidR="00604108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14:paraId="0B902F3B" w14:textId="77777777" w:rsidR="00D0611A" w:rsidRPr="005276E2" w:rsidRDefault="00D0611A" w:rsidP="0060410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D0611A" w:rsidRPr="003C4E20" w14:paraId="51B348DD" w14:textId="77777777" w:rsidTr="003C4E20">
        <w:tc>
          <w:tcPr>
            <w:tcW w:w="1670" w:type="pct"/>
            <w:shd w:val="clear" w:color="auto" w:fill="DEEAF6" w:themeFill="accent1" w:themeFillTint="33"/>
          </w:tcPr>
          <w:p w14:paraId="3C91E361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30" w:type="pct"/>
          </w:tcPr>
          <w:p w14:paraId="43CCC22D" w14:textId="77777777" w:rsidR="008279EE" w:rsidRDefault="00D0611A" w:rsidP="00362998">
            <w:pPr>
              <w:shd w:val="clear" w:color="auto" w:fill="FFFFFF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31A0F">
              <w:rPr>
                <w:rFonts w:eastAsia="Times New Roman" w:cs="Calibri"/>
                <w:sz w:val="20"/>
                <w:szCs w:val="20"/>
                <w:lang w:eastAsia="hr-HR"/>
              </w:rPr>
              <w:t>Broj tematskih i integriranih radionica o održivosti u turizmu</w:t>
            </w:r>
          </w:p>
          <w:p w14:paraId="21420C32" w14:textId="77777777" w:rsidR="00D0611A" w:rsidRPr="00331A0F" w:rsidRDefault="008279EE" w:rsidP="00362998">
            <w:pPr>
              <w:shd w:val="clear" w:color="auto" w:fill="FFFFFF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2026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0</w:t>
            </w:r>
          </w:p>
          <w:p w14:paraId="7DDA9774" w14:textId="77777777" w:rsidR="00D0611A" w:rsidRDefault="00D0611A" w:rsidP="00362998">
            <w:pPr>
              <w:shd w:val="clear" w:color="auto" w:fill="FFFFFF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31A0F">
              <w:rPr>
                <w:rFonts w:eastAsia="Times New Roman" w:cs="Calibri"/>
                <w:sz w:val="20"/>
                <w:szCs w:val="20"/>
                <w:lang w:eastAsia="hr-HR"/>
              </w:rPr>
              <w:t xml:space="preserve">2027. – </w:t>
            </w:r>
            <w:r w:rsidR="008279EE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</w:p>
          <w:p w14:paraId="45F12D4F" w14:textId="77777777" w:rsidR="00A63C22" w:rsidRPr="00331A0F" w:rsidRDefault="00A63C22" w:rsidP="00362998">
            <w:pPr>
              <w:shd w:val="clear" w:color="auto" w:fill="FFFFFF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14:paraId="50640664" w14:textId="77777777" w:rsidR="00D0611A" w:rsidRPr="00331A0F" w:rsidRDefault="00D0611A" w:rsidP="00D0611A">
            <w:pPr>
              <w:shd w:val="clear" w:color="auto" w:fill="FFFFFF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31A0F">
              <w:rPr>
                <w:rFonts w:eastAsia="Times New Roman" w:cs="Calibri"/>
                <w:sz w:val="20"/>
                <w:szCs w:val="20"/>
                <w:lang w:eastAsia="hr-HR"/>
              </w:rPr>
              <w:t>Broj certifikata eko-označavanja i sustava upravljanja okolišem s neovisnim ocjenjivanjem (npr. EU Ecolabel</w:t>
            </w:r>
            <w:r w:rsidR="003553F8">
              <w:rPr>
                <w:rStyle w:val="FootnoteReference"/>
                <w:rFonts w:eastAsia="Times New Roman" w:cs="Calibri"/>
                <w:sz w:val="20"/>
                <w:szCs w:val="20"/>
                <w:lang w:eastAsia="hr-HR"/>
              </w:rPr>
              <w:footnoteReference w:id="5"/>
            </w:r>
            <w:r w:rsidRPr="00331A0F">
              <w:rPr>
                <w:rFonts w:eastAsia="Times New Roman" w:cs="Calibri"/>
                <w:sz w:val="20"/>
                <w:szCs w:val="20"/>
                <w:lang w:eastAsia="hr-HR"/>
              </w:rPr>
              <w:t>, ISO, EMAS</w:t>
            </w:r>
            <w:r w:rsidR="003553F8">
              <w:rPr>
                <w:rStyle w:val="FootnoteReference"/>
                <w:rFonts w:eastAsia="Times New Roman" w:cs="Calibri"/>
                <w:sz w:val="20"/>
                <w:szCs w:val="20"/>
                <w:lang w:eastAsia="hr-HR"/>
              </w:rPr>
              <w:footnoteReference w:id="6"/>
            </w:r>
            <w:r w:rsidR="00331ED9">
              <w:rPr>
                <w:rFonts w:eastAsia="Times New Roman" w:cs="Calibri"/>
                <w:sz w:val="20"/>
                <w:szCs w:val="20"/>
                <w:lang w:eastAsia="hr-HR"/>
              </w:rPr>
              <w:t xml:space="preserve"> ili ekvivalenti)</w:t>
            </w:r>
          </w:p>
          <w:p w14:paraId="28560A3D" w14:textId="77777777" w:rsidR="00D0611A" w:rsidRPr="00331A0F" w:rsidRDefault="00D0611A" w:rsidP="00D0611A">
            <w:pPr>
              <w:shd w:val="clear" w:color="auto" w:fill="FFFFFF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31A0F">
              <w:rPr>
                <w:rFonts w:eastAsia="Times New Roman" w:cs="Calibri"/>
                <w:sz w:val="20"/>
                <w:szCs w:val="20"/>
                <w:lang w:eastAsia="hr-HR"/>
              </w:rPr>
              <w:t xml:space="preserve">2026.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Pr="00331A0F">
              <w:rPr>
                <w:rFonts w:eastAsia="Times New Roman" w:cs="Calibri"/>
                <w:sz w:val="20"/>
                <w:szCs w:val="20"/>
                <w:lang w:eastAsia="hr-HR"/>
              </w:rPr>
              <w:t xml:space="preserve"> 5</w:t>
            </w:r>
          </w:p>
          <w:p w14:paraId="07D38CD2" w14:textId="77777777" w:rsidR="00D0611A" w:rsidRDefault="00D0611A" w:rsidP="00D0611A">
            <w:pPr>
              <w:shd w:val="clear" w:color="auto" w:fill="FFFFFF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31A0F">
              <w:rPr>
                <w:rFonts w:eastAsia="Times New Roman" w:cs="Calibri"/>
                <w:sz w:val="20"/>
                <w:szCs w:val="20"/>
                <w:lang w:eastAsia="hr-HR"/>
              </w:rPr>
              <w:t>2027. – 5</w:t>
            </w:r>
          </w:p>
          <w:p w14:paraId="59CE12C7" w14:textId="77777777" w:rsidR="00D0611A" w:rsidRPr="00A628EA" w:rsidRDefault="00D0611A" w:rsidP="005A7E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D0611A" w:rsidRPr="003C4E20" w14:paraId="5F842CF4" w14:textId="77777777" w:rsidTr="003C4E20">
        <w:tc>
          <w:tcPr>
            <w:tcW w:w="1670" w:type="pct"/>
            <w:shd w:val="clear" w:color="auto" w:fill="DEEAF6" w:themeFill="accent1" w:themeFillTint="33"/>
          </w:tcPr>
          <w:p w14:paraId="65FF27B1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30" w:type="pct"/>
          </w:tcPr>
          <w:p w14:paraId="08A2903D" w14:textId="77777777" w:rsidR="00D0611A" w:rsidRPr="00A628EA" w:rsidRDefault="00D0611A" w:rsidP="00D0611A">
            <w:pPr>
              <w:jc w:val="both"/>
              <w:rPr>
                <w:sz w:val="20"/>
                <w:szCs w:val="20"/>
              </w:rPr>
            </w:pPr>
            <w:r w:rsidRPr="00716CDF">
              <w:rPr>
                <w:rFonts w:cs="Calibri"/>
                <w:sz w:val="20"/>
                <w:szCs w:val="20"/>
              </w:rPr>
              <w:t>50.000,00 EUR</w:t>
            </w:r>
          </w:p>
        </w:tc>
      </w:tr>
      <w:tr w:rsidR="00D0611A" w:rsidRPr="003C4E20" w14:paraId="7E5FA220" w14:textId="77777777" w:rsidTr="003C4E20">
        <w:tc>
          <w:tcPr>
            <w:tcW w:w="1670" w:type="pct"/>
            <w:shd w:val="clear" w:color="auto" w:fill="DEEAF6" w:themeFill="accent1" w:themeFillTint="33"/>
          </w:tcPr>
          <w:p w14:paraId="6CBD80B4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30" w:type="pct"/>
          </w:tcPr>
          <w:p w14:paraId="3CFF6118" w14:textId="77777777" w:rsidR="00D0611A" w:rsidRDefault="00D0611A" w:rsidP="00716CDF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716CDF">
              <w:rPr>
                <w:rFonts w:cs="Calibri"/>
                <w:sz w:val="20"/>
                <w:szCs w:val="20"/>
              </w:rPr>
              <w:t>A916036 Podrška razvoju turističkih proizvoda posebnih oblika turizma</w:t>
            </w:r>
          </w:p>
          <w:p w14:paraId="2C3C982F" w14:textId="77777777" w:rsidR="00604108" w:rsidRDefault="00604108" w:rsidP="00604108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2026. – 0</w:t>
            </w:r>
          </w:p>
          <w:p w14:paraId="2BA6FAF9" w14:textId="77777777" w:rsidR="0099472B" w:rsidRDefault="00604108" w:rsidP="00604108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2027. – 50.000,00 EUR</w:t>
            </w:r>
            <w:r w:rsidR="009214E7">
              <w:rPr>
                <w:rFonts w:cs="Calibri"/>
                <w:sz w:val="20"/>
                <w:szCs w:val="20"/>
              </w:rPr>
              <w:t xml:space="preserve"> (izvor 11)</w:t>
            </w:r>
          </w:p>
          <w:p w14:paraId="3FF6E944" w14:textId="77777777" w:rsidR="00604108" w:rsidRPr="00A628EA" w:rsidRDefault="00604108" w:rsidP="0060410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0611A" w:rsidRPr="003C4E20" w14:paraId="74680CE3" w14:textId="77777777" w:rsidTr="003C4E20">
        <w:tc>
          <w:tcPr>
            <w:tcW w:w="1670" w:type="pct"/>
            <w:shd w:val="clear" w:color="auto" w:fill="DEEAF6" w:themeFill="accent1" w:themeFillTint="33"/>
          </w:tcPr>
          <w:p w14:paraId="35DBB051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30" w:type="pct"/>
          </w:tcPr>
          <w:p w14:paraId="4807F5A8" w14:textId="77777777" w:rsidR="00D0611A" w:rsidRPr="00A628EA" w:rsidRDefault="00D0611A" w:rsidP="00D0611A">
            <w:pPr>
              <w:jc w:val="both"/>
              <w:rPr>
                <w:sz w:val="20"/>
                <w:szCs w:val="20"/>
              </w:rPr>
            </w:pPr>
            <w:r w:rsidRPr="00A628EA">
              <w:rPr>
                <w:sz w:val="20"/>
                <w:szCs w:val="20"/>
              </w:rPr>
              <w:t>MINTS</w:t>
            </w:r>
          </w:p>
        </w:tc>
      </w:tr>
      <w:tr w:rsidR="00D0611A" w:rsidRPr="003C4E20" w14:paraId="3024786A" w14:textId="77777777" w:rsidTr="003C4E20">
        <w:tc>
          <w:tcPr>
            <w:tcW w:w="1670" w:type="pct"/>
            <w:shd w:val="clear" w:color="auto" w:fill="DEEAF6" w:themeFill="accent1" w:themeFillTint="33"/>
          </w:tcPr>
          <w:p w14:paraId="56C35F05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30" w:type="pct"/>
          </w:tcPr>
          <w:p w14:paraId="202114B7" w14:textId="77777777" w:rsidR="00D0611A" w:rsidRPr="00A628EA" w:rsidRDefault="004855E3" w:rsidP="004855E3">
            <w:pPr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MZOZT</w:t>
            </w:r>
            <w:r w:rsidR="00D0611A" w:rsidRPr="00716CDF">
              <w:rPr>
                <w:rFonts w:cs="Calibri"/>
                <w:sz w:val="20"/>
                <w:szCs w:val="20"/>
              </w:rPr>
              <w:t xml:space="preserve">, </w:t>
            </w:r>
            <w:r w:rsidR="00012226">
              <w:rPr>
                <w:rFonts w:cs="Calibri"/>
                <w:sz w:val="20"/>
                <w:szCs w:val="20"/>
              </w:rPr>
              <w:t>turističke zajednice</w:t>
            </w:r>
            <w:r w:rsidR="00D0611A" w:rsidRPr="00716CDF">
              <w:rPr>
                <w:rFonts w:cs="Calibri"/>
                <w:sz w:val="20"/>
                <w:szCs w:val="20"/>
              </w:rPr>
              <w:t>, JLP(R)S, JU ZP</w:t>
            </w:r>
          </w:p>
        </w:tc>
      </w:tr>
      <w:tr w:rsidR="003C4E20" w:rsidRPr="003C4E20" w14:paraId="184B1EBF" w14:textId="77777777" w:rsidTr="003C4E20">
        <w:tc>
          <w:tcPr>
            <w:tcW w:w="1670" w:type="pct"/>
            <w:shd w:val="clear" w:color="auto" w:fill="DEEAF6" w:themeFill="accent1" w:themeFillTint="33"/>
          </w:tcPr>
          <w:p w14:paraId="022C3C60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Oznaka mjere </w:t>
            </w:r>
          </w:p>
        </w:tc>
        <w:tc>
          <w:tcPr>
            <w:tcW w:w="3330" w:type="pct"/>
          </w:tcPr>
          <w:p w14:paraId="7614D563" w14:textId="77777777" w:rsidR="003C4E20" w:rsidRPr="00A628EA" w:rsidRDefault="006A656E" w:rsidP="003C4E20">
            <w:pPr>
              <w:jc w:val="both"/>
              <w:rPr>
                <w:sz w:val="20"/>
                <w:szCs w:val="20"/>
              </w:rPr>
            </w:pPr>
            <w:r w:rsidRPr="00A628EA">
              <w:rPr>
                <w:sz w:val="20"/>
                <w:szCs w:val="20"/>
              </w:rPr>
              <w:t>I</w:t>
            </w:r>
          </w:p>
        </w:tc>
      </w:tr>
    </w:tbl>
    <w:p w14:paraId="14E73F76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1"/>
        <w:gridCol w:w="6005"/>
      </w:tblGrid>
      <w:tr w:rsidR="003C4E20" w:rsidRPr="003C4E20" w14:paraId="3F8091C3" w14:textId="77777777" w:rsidTr="003C4E20">
        <w:tc>
          <w:tcPr>
            <w:tcW w:w="5000" w:type="pct"/>
            <w:gridSpan w:val="2"/>
            <w:shd w:val="clear" w:color="auto" w:fill="BDD6EE" w:themeFill="accent1" w:themeFillTint="66"/>
          </w:tcPr>
          <w:p w14:paraId="067A3C95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35" w:name="_Toc136497270"/>
            <w:bookmarkStart w:id="36" w:name="_Toc140856020"/>
            <w:bookmarkStart w:id="37" w:name="_Toc141982418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3.2.</w:t>
            </w:r>
            <w:bookmarkEnd w:id="35"/>
            <w:bookmarkEnd w:id="36"/>
            <w:bookmarkEnd w:id="37"/>
          </w:p>
          <w:p w14:paraId="1A72C1C6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38" w:name="_Toc140856021"/>
            <w:bookmarkStart w:id="39" w:name="_Toc141982419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Unaprijediti sustavno i održivo planiranje razvoja turizma utemeljeno na prihvatnomu kapacitetu destinacije</w:t>
            </w:r>
            <w:bookmarkEnd w:id="38"/>
            <w:bookmarkEnd w:id="39"/>
          </w:p>
        </w:tc>
      </w:tr>
      <w:tr w:rsidR="00D0611A" w:rsidRPr="003C4E20" w14:paraId="0C577BC5" w14:textId="77777777" w:rsidTr="00716CDF">
        <w:tc>
          <w:tcPr>
            <w:tcW w:w="1670" w:type="pct"/>
            <w:shd w:val="clear" w:color="auto" w:fill="DEEAF6" w:themeFill="accent1" w:themeFillTint="33"/>
          </w:tcPr>
          <w:p w14:paraId="4264AE98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E55F" w14:textId="03223EFC" w:rsidR="00D0611A" w:rsidRPr="00716CDF" w:rsidRDefault="00D0611A" w:rsidP="00D0611A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16CD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Svrha mjere je stvoriti preduvjete za ujednačeno, sustavno i održivo upravljanje razvojem turizma u destinaciji. Kroz mjeru će se osigurati prikupljanje direktnih i strukturiranih podataka za izračune i praćenje trenda pokazatelja o kakvoći mora, temperature i kvaliteta zraka. MINTS će sudjelovati u Izradi aplikacije za praćenje kakvoće mora, temperature i kvalitete zraka u </w:t>
            </w:r>
            <w:r w:rsidR="00115E5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suradnji s Institutom za vode Josip Juraj</w:t>
            </w:r>
            <w:r w:rsidRPr="00716CD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Strossmayer. </w:t>
            </w:r>
          </w:p>
          <w:p w14:paraId="0A8E336C" w14:textId="77777777" w:rsidR="00D0611A" w:rsidRPr="00A628EA" w:rsidRDefault="00D0611A" w:rsidP="00D0611A">
            <w:pPr>
              <w:jc w:val="both"/>
              <w:rPr>
                <w:sz w:val="20"/>
                <w:szCs w:val="20"/>
              </w:rPr>
            </w:pPr>
          </w:p>
        </w:tc>
      </w:tr>
      <w:tr w:rsidR="00D0611A" w:rsidRPr="003C4E20" w14:paraId="33E376F3" w14:textId="77777777" w:rsidTr="00716CDF">
        <w:tc>
          <w:tcPr>
            <w:tcW w:w="1670" w:type="pct"/>
            <w:shd w:val="clear" w:color="auto" w:fill="DEEAF6" w:themeFill="accent1" w:themeFillTint="33"/>
          </w:tcPr>
          <w:p w14:paraId="1333FDA0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9A6C" w14:textId="77777777" w:rsidR="00FA582A" w:rsidRDefault="00362998" w:rsidP="00716C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Izrađena</w:t>
            </w:r>
            <w:r w:rsidR="001F486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1F4869">
              <w:rPr>
                <w:rFonts w:cstheme="minorHAnsi"/>
                <w:sz w:val="20"/>
                <w:szCs w:val="20"/>
              </w:rPr>
              <w:t>plikacija za praćenje kakvoće mora, temperature i kvalitete zraka)</w:t>
            </w:r>
          </w:p>
          <w:p w14:paraId="2251FD06" w14:textId="77777777" w:rsidR="00A3359C" w:rsidRDefault="00A3359C" w:rsidP="00716C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2026.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F4869">
              <w:rPr>
                <w:rFonts w:cstheme="minorHAnsi"/>
                <w:sz w:val="20"/>
                <w:szCs w:val="20"/>
              </w:rPr>
              <w:t>1</w:t>
            </w:r>
          </w:p>
          <w:p w14:paraId="3E649636" w14:textId="4DED123B" w:rsidR="00D0611A" w:rsidRPr="00A628EA" w:rsidRDefault="000D286D" w:rsidP="00716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</w:t>
            </w:r>
            <w:r w:rsidR="00115E5A" w:rsidRPr="00721091">
              <w:rPr>
                <w:rFonts w:cstheme="minorHAnsi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0</w:t>
            </w:r>
          </w:p>
        </w:tc>
      </w:tr>
      <w:tr w:rsidR="00D0611A" w:rsidRPr="003C4E20" w14:paraId="2BF0252A" w14:textId="77777777" w:rsidTr="00716CDF">
        <w:tc>
          <w:tcPr>
            <w:tcW w:w="1670" w:type="pct"/>
            <w:shd w:val="clear" w:color="auto" w:fill="DEEAF6" w:themeFill="accent1" w:themeFillTint="33"/>
          </w:tcPr>
          <w:p w14:paraId="3857203E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CDCF" w14:textId="77777777" w:rsidR="00D0611A" w:rsidRPr="00A628EA" w:rsidRDefault="00D0611A" w:rsidP="00D0611A">
            <w:pPr>
              <w:jc w:val="both"/>
              <w:rPr>
                <w:sz w:val="20"/>
                <w:szCs w:val="20"/>
              </w:rPr>
            </w:pPr>
            <w:r w:rsidRPr="00716CDF">
              <w:rPr>
                <w:rFonts w:cstheme="minorHAnsi"/>
                <w:sz w:val="20"/>
                <w:szCs w:val="20"/>
              </w:rPr>
              <w:t>50.000,00 EUR</w:t>
            </w:r>
            <w:r w:rsidR="009214E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0611A" w:rsidRPr="003C4E20" w14:paraId="68343AF7" w14:textId="77777777" w:rsidTr="00716CDF">
        <w:tc>
          <w:tcPr>
            <w:tcW w:w="1670" w:type="pct"/>
            <w:shd w:val="clear" w:color="auto" w:fill="DEEAF6" w:themeFill="accent1" w:themeFillTint="33"/>
          </w:tcPr>
          <w:p w14:paraId="36CE811E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E78" w14:textId="77777777" w:rsidR="00D0611A" w:rsidRDefault="00D0611A" w:rsidP="00716CD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716CDF">
              <w:rPr>
                <w:rFonts w:cstheme="minorHAnsi"/>
                <w:sz w:val="20"/>
                <w:szCs w:val="20"/>
              </w:rPr>
              <w:t>A916036 Podrška razvoju turističkih proizvoda posebnih oblika turizma</w:t>
            </w:r>
          </w:p>
          <w:p w14:paraId="4135463A" w14:textId="20B7B79D" w:rsidR="0099472B" w:rsidRDefault="00604108" w:rsidP="00716CDF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2026. </w:t>
            </w:r>
            <w:r w:rsidR="00115E5A" w:rsidRPr="00721091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99472B">
              <w:rPr>
                <w:rFonts w:cs="Calibri"/>
                <w:sz w:val="20"/>
                <w:szCs w:val="20"/>
              </w:rPr>
              <w:t>50.000,00 EUR</w:t>
            </w:r>
            <w:r w:rsidR="009214E7">
              <w:rPr>
                <w:rFonts w:cs="Calibri"/>
                <w:sz w:val="20"/>
                <w:szCs w:val="20"/>
              </w:rPr>
              <w:t xml:space="preserve"> (izvor 11)</w:t>
            </w:r>
          </w:p>
          <w:p w14:paraId="33D40799" w14:textId="08E06F90" w:rsidR="00604108" w:rsidRPr="00A628EA" w:rsidRDefault="00E27D23" w:rsidP="00716CDF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</w:t>
            </w:r>
            <w:r w:rsidR="00115E5A" w:rsidRPr="00721091">
              <w:rPr>
                <w:rFonts w:cstheme="minorHAnsi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0</w:t>
            </w:r>
          </w:p>
        </w:tc>
      </w:tr>
      <w:tr w:rsidR="00D0611A" w:rsidRPr="003C4E20" w14:paraId="364D283F" w14:textId="77777777" w:rsidTr="00716CDF">
        <w:trPr>
          <w:trHeight w:val="58"/>
        </w:trPr>
        <w:tc>
          <w:tcPr>
            <w:tcW w:w="1670" w:type="pct"/>
            <w:shd w:val="clear" w:color="auto" w:fill="DEEAF6" w:themeFill="accent1" w:themeFillTint="33"/>
          </w:tcPr>
          <w:p w14:paraId="36C71363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87E6" w14:textId="640BFFB4" w:rsidR="00D0611A" w:rsidRPr="00A628EA" w:rsidRDefault="00115E5A" w:rsidP="00D0611A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Institut za vode Josip Juraj</w:t>
            </w:r>
            <w:r w:rsidR="00D0611A" w:rsidRPr="00716CD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D0611A" w:rsidRPr="00716CDF">
              <w:rPr>
                <w:rFonts w:cstheme="minorHAnsi"/>
                <w:sz w:val="20"/>
                <w:szCs w:val="20"/>
              </w:rPr>
              <w:t>Strossmayer</w:t>
            </w:r>
          </w:p>
        </w:tc>
      </w:tr>
      <w:tr w:rsidR="00D0611A" w:rsidRPr="003C4E20" w14:paraId="41A3E473" w14:textId="77777777" w:rsidTr="00716CDF">
        <w:tc>
          <w:tcPr>
            <w:tcW w:w="1670" w:type="pct"/>
            <w:shd w:val="clear" w:color="auto" w:fill="DEEAF6" w:themeFill="accent1" w:themeFillTint="33"/>
          </w:tcPr>
          <w:p w14:paraId="490DBA60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C546" w14:textId="77777777" w:rsidR="00D0611A" w:rsidRPr="00A628EA" w:rsidRDefault="00D0611A" w:rsidP="00D0611A">
            <w:pPr>
              <w:jc w:val="both"/>
              <w:rPr>
                <w:sz w:val="20"/>
                <w:szCs w:val="20"/>
              </w:rPr>
            </w:pPr>
            <w:r w:rsidRPr="00716CD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MINTS, </w:t>
            </w:r>
            <w:r w:rsidRPr="00716CDF">
              <w:rPr>
                <w:rFonts w:cstheme="minorHAnsi"/>
                <w:sz w:val="20"/>
                <w:szCs w:val="20"/>
              </w:rPr>
              <w:t xml:space="preserve">Državni hidrometeorološki zavod, </w:t>
            </w:r>
            <w:r w:rsidRPr="00716CD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Institut za oceanografiju i ribarstvo</w:t>
            </w:r>
          </w:p>
        </w:tc>
      </w:tr>
      <w:tr w:rsidR="003C4E20" w:rsidRPr="003C4E20" w14:paraId="3081B29C" w14:textId="77777777" w:rsidTr="003C4E20">
        <w:tc>
          <w:tcPr>
            <w:tcW w:w="1670" w:type="pct"/>
            <w:shd w:val="clear" w:color="auto" w:fill="DEEAF6" w:themeFill="accent1" w:themeFillTint="33"/>
          </w:tcPr>
          <w:p w14:paraId="477FD755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Oznaka mjere </w:t>
            </w:r>
          </w:p>
        </w:tc>
        <w:tc>
          <w:tcPr>
            <w:tcW w:w="3330" w:type="pct"/>
          </w:tcPr>
          <w:p w14:paraId="0E74C3A1" w14:textId="77777777" w:rsidR="003C4E20" w:rsidRPr="003C4E20" w:rsidRDefault="007769BD" w:rsidP="003C4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</w:tbl>
    <w:p w14:paraId="7AADCA35" w14:textId="77777777" w:rsidR="002434C6" w:rsidRPr="005276E2" w:rsidRDefault="002434C6" w:rsidP="005276E2">
      <w:pPr>
        <w:ind w:firstLine="708"/>
        <w:rPr>
          <w:rFonts w:ascii="Times New Roman" w:hAnsi="Times New Roman" w:cs="Times New Roman"/>
        </w:rPr>
      </w:pPr>
    </w:p>
    <w:p w14:paraId="783354A7" w14:textId="77777777" w:rsidR="00AB000E" w:rsidRPr="005276E2" w:rsidRDefault="00AB000E" w:rsidP="005276E2">
      <w:pPr>
        <w:ind w:firstLine="708"/>
        <w:rPr>
          <w:rFonts w:ascii="Times New Roman" w:hAnsi="Times New Roman" w:cs="Times New Roman"/>
        </w:rPr>
      </w:pPr>
    </w:p>
    <w:tbl>
      <w:tblPr>
        <w:tblStyle w:val="TableGrid"/>
        <w:tblW w:w="5002" w:type="pct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02"/>
        <w:gridCol w:w="2999"/>
        <w:gridCol w:w="2999"/>
      </w:tblGrid>
      <w:tr w:rsidR="003C4E20" w:rsidRPr="003C4E20" w14:paraId="30DE91E4" w14:textId="77777777" w:rsidTr="002434C6">
        <w:tc>
          <w:tcPr>
            <w:tcW w:w="5000" w:type="pct"/>
            <w:gridSpan w:val="3"/>
            <w:shd w:val="clear" w:color="auto" w:fill="002060"/>
          </w:tcPr>
          <w:p w14:paraId="64437F2E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40" w:name="_Toc136497272"/>
            <w:bookmarkStart w:id="41" w:name="_Toc140856022"/>
            <w:bookmarkStart w:id="42" w:name="_Toc141982420"/>
            <w:r w:rsidRPr="003C4E20">
              <w:rPr>
                <w:rFonts w:eastAsiaTheme="majorEastAsia"/>
                <w:color w:val="2E74B5" w:themeColor="accent1" w:themeShade="BF"/>
                <w:sz w:val="28"/>
                <w:szCs w:val="32"/>
              </w:rPr>
              <w:t>Posebni cilj 4.</w:t>
            </w:r>
            <w:bookmarkEnd w:id="40"/>
            <w:bookmarkEnd w:id="41"/>
            <w:bookmarkEnd w:id="42"/>
          </w:p>
          <w:p w14:paraId="0C72F2F0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43" w:name="_Toc140856023"/>
            <w:bookmarkStart w:id="44" w:name="_Toc141982421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>SMANJENJE NEGATIVNOG MEĐUODNOSA TURIZMA I KLIME</w:t>
            </w:r>
            <w:bookmarkEnd w:id="43"/>
            <w:bookmarkEnd w:id="44"/>
          </w:p>
        </w:tc>
      </w:tr>
      <w:tr w:rsidR="003C4E20" w:rsidRPr="003C4E20" w14:paraId="78DCF2D5" w14:textId="77777777" w:rsidTr="002434C6">
        <w:tc>
          <w:tcPr>
            <w:tcW w:w="1668" w:type="pct"/>
            <w:shd w:val="clear" w:color="auto" w:fill="DEEAF6" w:themeFill="accent1" w:themeFillTint="33"/>
          </w:tcPr>
          <w:p w14:paraId="658FB436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ishoda</w:t>
            </w:r>
          </w:p>
        </w:tc>
        <w:tc>
          <w:tcPr>
            <w:tcW w:w="1666" w:type="pct"/>
            <w:shd w:val="clear" w:color="auto" w:fill="DEEAF6" w:themeFill="accent1" w:themeFillTint="33"/>
          </w:tcPr>
          <w:p w14:paraId="55017A65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Početna vrijednost pokazatelja ishoda 20</w:t>
            </w:r>
            <w:r w:rsidR="004B3519">
              <w:rPr>
                <w:i/>
                <w:iCs/>
                <w:sz w:val="20"/>
                <w:szCs w:val="20"/>
              </w:rPr>
              <w:t>21</w:t>
            </w:r>
            <w:r w:rsidRPr="003C4E20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66" w:type="pct"/>
            <w:shd w:val="clear" w:color="auto" w:fill="DEEAF6" w:themeFill="accent1" w:themeFillTint="33"/>
          </w:tcPr>
          <w:p w14:paraId="34C15B6B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Ciljana vrijednost pokazatelja ishoda 2027.*</w:t>
            </w:r>
          </w:p>
        </w:tc>
      </w:tr>
      <w:tr w:rsidR="003C4E20" w:rsidRPr="003C4E20" w14:paraId="2568E6B6" w14:textId="77777777" w:rsidTr="002434C6">
        <w:tc>
          <w:tcPr>
            <w:tcW w:w="1668" w:type="pct"/>
          </w:tcPr>
          <w:p w14:paraId="4F5CC2D9" w14:textId="49B0B46D" w:rsidR="003C4E20" w:rsidRPr="003C4E20" w:rsidRDefault="009A2C6A" w:rsidP="003C4E20">
            <w:pPr>
              <w:jc w:val="center"/>
              <w:rPr>
                <w:sz w:val="20"/>
                <w:szCs w:val="20"/>
              </w:rPr>
            </w:pPr>
            <w:r w:rsidRPr="009A2C6A">
              <w:t>OI.02.8.59</w:t>
            </w:r>
            <w:r>
              <w:t xml:space="preserve"> </w:t>
            </w:r>
            <w:r w:rsidR="003C4E20" w:rsidRPr="003C4E20">
              <w:t>Intenzitet stakleničkih plinova prouzročen turizmom</w:t>
            </w:r>
            <w:r w:rsidR="004B3519">
              <w:t xml:space="preserve"> (</w:t>
            </w:r>
            <w:r w:rsidR="00583AF0">
              <w:t>indeks</w:t>
            </w:r>
            <w:r w:rsidR="004B3519">
              <w:t>)</w:t>
            </w:r>
            <w:r w:rsidR="0012513F">
              <w:t>**</w:t>
            </w:r>
          </w:p>
        </w:tc>
        <w:tc>
          <w:tcPr>
            <w:tcW w:w="1666" w:type="pct"/>
          </w:tcPr>
          <w:p w14:paraId="34ABE735" w14:textId="77777777" w:rsidR="003C4E20" w:rsidRPr="003C4E20" w:rsidRDefault="007054CC" w:rsidP="003C4E20">
            <w:pPr>
              <w:jc w:val="center"/>
              <w:rPr>
                <w:sz w:val="20"/>
                <w:szCs w:val="20"/>
              </w:rPr>
            </w:pPr>
            <w:r>
              <w:t>70,24</w:t>
            </w:r>
          </w:p>
        </w:tc>
        <w:tc>
          <w:tcPr>
            <w:tcW w:w="1666" w:type="pct"/>
          </w:tcPr>
          <w:p w14:paraId="41D1B711" w14:textId="77777777" w:rsidR="003C4E20" w:rsidRPr="003C4E20" w:rsidRDefault="007054CC" w:rsidP="003C4E20">
            <w:pPr>
              <w:jc w:val="center"/>
              <w:rPr>
                <w:sz w:val="20"/>
                <w:szCs w:val="20"/>
              </w:rPr>
            </w:pPr>
            <w:r>
              <w:t>55</w:t>
            </w:r>
            <w:r w:rsidR="004B3519">
              <w:t>,00</w:t>
            </w:r>
          </w:p>
        </w:tc>
      </w:tr>
      <w:tr w:rsidR="003C4E20" w:rsidRPr="003C4E20" w14:paraId="57BC8F02" w14:textId="77777777" w:rsidTr="002434C6">
        <w:tc>
          <w:tcPr>
            <w:tcW w:w="1668" w:type="pct"/>
          </w:tcPr>
          <w:p w14:paraId="44679E4C" w14:textId="77777777" w:rsidR="003C4E20" w:rsidRPr="003C4E20" w:rsidRDefault="009A2C6A" w:rsidP="003C4E20">
            <w:pPr>
              <w:jc w:val="center"/>
              <w:rPr>
                <w:sz w:val="20"/>
                <w:szCs w:val="20"/>
              </w:rPr>
            </w:pPr>
            <w:r w:rsidRPr="009A2C6A">
              <w:t>OI.02.8.60</w:t>
            </w:r>
            <w:r>
              <w:t xml:space="preserve"> </w:t>
            </w:r>
            <w:r w:rsidR="003C4E20" w:rsidRPr="003C4E20">
              <w:t>Energetska intenzivnost u turizmu</w:t>
            </w:r>
            <w:r w:rsidR="004B3519">
              <w:t xml:space="preserve"> (indeks)</w:t>
            </w:r>
          </w:p>
        </w:tc>
        <w:tc>
          <w:tcPr>
            <w:tcW w:w="1666" w:type="pct"/>
          </w:tcPr>
          <w:p w14:paraId="56309CB4" w14:textId="77777777" w:rsidR="003C4E20" w:rsidRPr="003C4E20" w:rsidRDefault="007054CC" w:rsidP="003C4E20">
            <w:pPr>
              <w:jc w:val="center"/>
              <w:rPr>
                <w:sz w:val="20"/>
                <w:szCs w:val="20"/>
              </w:rPr>
            </w:pPr>
            <w:r>
              <w:t>79,88</w:t>
            </w:r>
          </w:p>
        </w:tc>
        <w:tc>
          <w:tcPr>
            <w:tcW w:w="1666" w:type="pct"/>
          </w:tcPr>
          <w:p w14:paraId="21F89017" w14:textId="77777777" w:rsidR="003C4E20" w:rsidRPr="003C4E20" w:rsidRDefault="007054CC" w:rsidP="003C4E20">
            <w:pPr>
              <w:jc w:val="center"/>
              <w:rPr>
                <w:sz w:val="20"/>
                <w:szCs w:val="20"/>
              </w:rPr>
            </w:pPr>
            <w:r>
              <w:t>76,54</w:t>
            </w:r>
          </w:p>
        </w:tc>
      </w:tr>
    </w:tbl>
    <w:p w14:paraId="77C71298" w14:textId="77777777" w:rsidR="003C4E20" w:rsidRDefault="003C4E20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 w:rsidRPr="003C4E20">
        <w:rPr>
          <w:rFonts w:ascii="Times New Roman" w:hAnsi="Times New Roman" w:cs="Times New Roman"/>
          <w:i/>
          <w:sz w:val="16"/>
          <w:szCs w:val="18"/>
        </w:rPr>
        <w:t>* Sukladno Nacionalnom planu razvoja održivog turizma do 2027.</w:t>
      </w:r>
    </w:p>
    <w:p w14:paraId="666FC010" w14:textId="7BB5B1A8" w:rsidR="0012513F" w:rsidRPr="003C4E20" w:rsidRDefault="0012513F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 xml:space="preserve">** </w:t>
      </w:r>
      <w:r w:rsidRPr="0012513F">
        <w:rPr>
          <w:rFonts w:ascii="Times New Roman" w:hAnsi="Times New Roman" w:cs="Times New Roman"/>
          <w:i/>
          <w:sz w:val="16"/>
          <w:szCs w:val="18"/>
        </w:rPr>
        <w:t>Vrijednosti su iskazane sukladno trenutno važećoj metodologiji</w:t>
      </w:r>
      <w:r>
        <w:rPr>
          <w:rFonts w:ascii="Times New Roman" w:hAnsi="Times New Roman" w:cs="Times New Roman"/>
          <w:i/>
          <w:sz w:val="16"/>
          <w:szCs w:val="18"/>
        </w:rPr>
        <w:t xml:space="preserve"> izračuna pokazatelja</w:t>
      </w:r>
    </w:p>
    <w:p w14:paraId="2B214D60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3"/>
        <w:gridCol w:w="6003"/>
      </w:tblGrid>
      <w:tr w:rsidR="003C4E20" w:rsidRPr="003C4E20" w14:paraId="1DA1B1A7" w14:textId="77777777" w:rsidTr="003C4E20">
        <w:tc>
          <w:tcPr>
            <w:tcW w:w="5000" w:type="pct"/>
            <w:gridSpan w:val="2"/>
            <w:shd w:val="clear" w:color="auto" w:fill="BDD6EE" w:themeFill="accent1" w:themeFillTint="66"/>
          </w:tcPr>
          <w:p w14:paraId="37A234F7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45" w:name="_Toc136497274"/>
            <w:bookmarkStart w:id="46" w:name="_Toc140856024"/>
            <w:bookmarkStart w:id="47" w:name="_Toc141982422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4.1.</w:t>
            </w:r>
            <w:bookmarkEnd w:id="45"/>
            <w:bookmarkEnd w:id="46"/>
            <w:bookmarkEnd w:id="47"/>
          </w:p>
          <w:p w14:paraId="64D6C072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48" w:name="_Toc140856025"/>
            <w:bookmarkStart w:id="49" w:name="_Toc141982423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Poticati smanjivanje emisija stakleničkih plinova iz turizma</w:t>
            </w:r>
            <w:bookmarkEnd w:id="48"/>
            <w:bookmarkEnd w:id="49"/>
          </w:p>
        </w:tc>
      </w:tr>
      <w:tr w:rsidR="003C4E20" w:rsidRPr="003C4E20" w14:paraId="53927592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5F291E25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9" w:type="pct"/>
          </w:tcPr>
          <w:p w14:paraId="47766069" w14:textId="30C42F2D" w:rsidR="003C4E20" w:rsidRDefault="007A38FD" w:rsidP="007A38F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678B">
              <w:rPr>
                <w:rFonts w:cstheme="minorHAnsi"/>
                <w:color w:val="000000" w:themeColor="text1"/>
                <w:sz w:val="20"/>
                <w:szCs w:val="20"/>
              </w:rPr>
              <w:t>Poticat će se povećanje odliva stakleničkih plinova sadnjom dodatnih stabala u šumskim, urbanim i periurbanim područjima.</w:t>
            </w:r>
          </w:p>
          <w:p w14:paraId="235D765C" w14:textId="77777777" w:rsidR="00295DF9" w:rsidRPr="0059678B" w:rsidRDefault="00295DF9" w:rsidP="007A38F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C4E20" w:rsidRPr="003C4E20" w14:paraId="6951FFB1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34B54D30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9" w:type="pct"/>
          </w:tcPr>
          <w:p w14:paraId="2A5EFA8A" w14:textId="77777777" w:rsidR="002E02EA" w:rsidRDefault="002E02EA" w:rsidP="002E02E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9678B">
              <w:rPr>
                <w:rFonts w:asciiTheme="minorHAnsi" w:hAnsiTheme="minorHAnsi" w:cstheme="minorHAnsi"/>
                <w:sz w:val="20"/>
                <w:szCs w:val="20"/>
              </w:rPr>
              <w:t xml:space="preserve">Broj dodatnih stabala zasađenih u šumskim, urbanim i periurbanim područjima </w:t>
            </w:r>
          </w:p>
          <w:p w14:paraId="18BE3A48" w14:textId="77777777" w:rsidR="002E02EA" w:rsidRPr="0059678B" w:rsidRDefault="002E02EA" w:rsidP="002E02E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9678B">
              <w:rPr>
                <w:rFonts w:asciiTheme="minorHAnsi" w:hAnsiTheme="minorHAnsi" w:cstheme="minorHAnsi"/>
                <w:sz w:val="20"/>
                <w:szCs w:val="20"/>
              </w:rPr>
              <w:t xml:space="preserve">2026. – 1000 </w:t>
            </w:r>
          </w:p>
          <w:p w14:paraId="13240EA1" w14:textId="79A97E1E" w:rsidR="003553F8" w:rsidRPr="0059678B" w:rsidRDefault="002E02EA" w:rsidP="00150ADC">
            <w:pPr>
              <w:rPr>
                <w:rFonts w:cstheme="minorHAnsi"/>
                <w:sz w:val="20"/>
                <w:szCs w:val="20"/>
              </w:rPr>
            </w:pPr>
            <w:r w:rsidRPr="0059678B">
              <w:rPr>
                <w:rFonts w:cstheme="minorHAnsi"/>
                <w:sz w:val="20"/>
                <w:szCs w:val="20"/>
              </w:rPr>
              <w:t xml:space="preserve">2027. – 1000 </w:t>
            </w:r>
          </w:p>
        </w:tc>
      </w:tr>
      <w:tr w:rsidR="003C4E20" w:rsidRPr="003C4E20" w14:paraId="75EAAB5B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09CB14E7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9" w:type="pct"/>
          </w:tcPr>
          <w:p w14:paraId="4EED8F19" w14:textId="77777777" w:rsidR="00386152" w:rsidRPr="0059678B" w:rsidRDefault="003553F8" w:rsidP="0038615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Pr="0059678B">
              <w:rPr>
                <w:rFonts w:asciiTheme="minorHAnsi" w:hAnsiTheme="minorHAnsi" w:cstheme="minorHAnsi"/>
                <w:sz w:val="20"/>
                <w:szCs w:val="20"/>
              </w:rPr>
              <w:t>0.000,00 EUR</w:t>
            </w:r>
            <w:r w:rsidR="00386152" w:rsidRPr="005967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A97A03B" w14:textId="77777777" w:rsidR="003C4E20" w:rsidRPr="0059678B" w:rsidRDefault="003C4E20" w:rsidP="003C4E2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C4E20" w:rsidRPr="003C4E20" w14:paraId="62E2DC26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46BCBD8A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9" w:type="pct"/>
          </w:tcPr>
          <w:p w14:paraId="51C03E29" w14:textId="77777777" w:rsidR="00386152" w:rsidRPr="0059678B" w:rsidRDefault="00386152" w:rsidP="0038615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678B">
              <w:rPr>
                <w:rFonts w:asciiTheme="minorHAnsi" w:hAnsiTheme="minorHAnsi" w:cstheme="minorHAnsi"/>
                <w:sz w:val="20"/>
                <w:szCs w:val="20"/>
              </w:rPr>
              <w:t xml:space="preserve">A 587001 Turistička promidžba Republike Hrvatske </w:t>
            </w:r>
          </w:p>
          <w:p w14:paraId="571D7B5E" w14:textId="77777777" w:rsidR="00386152" w:rsidRPr="0059678B" w:rsidRDefault="00386152" w:rsidP="0038615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678B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3C2D5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9678B">
              <w:rPr>
                <w:rFonts w:asciiTheme="minorHAnsi" w:hAnsiTheme="minorHAnsi" w:cstheme="minorHAnsi"/>
                <w:sz w:val="20"/>
                <w:szCs w:val="20"/>
              </w:rPr>
              <w:t xml:space="preserve">. – 2027. = 160.000 * </w:t>
            </w:r>
            <w:r w:rsidR="003C2D5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9678B">
              <w:rPr>
                <w:rFonts w:asciiTheme="minorHAnsi" w:hAnsiTheme="minorHAnsi" w:cstheme="minorHAnsi"/>
                <w:sz w:val="20"/>
                <w:szCs w:val="20"/>
              </w:rPr>
              <w:t xml:space="preserve"> godine = </w:t>
            </w:r>
            <w:r w:rsidR="003C2D58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Pr="0059678B">
              <w:rPr>
                <w:rFonts w:asciiTheme="minorHAnsi" w:hAnsiTheme="minorHAnsi" w:cstheme="minorHAnsi"/>
                <w:sz w:val="20"/>
                <w:szCs w:val="20"/>
              </w:rPr>
              <w:t xml:space="preserve">0.000,00 EUR </w:t>
            </w:r>
            <w:r w:rsidR="009214E7">
              <w:rPr>
                <w:rFonts w:asciiTheme="minorHAnsi" w:hAnsiTheme="minorHAnsi" w:cstheme="minorHAnsi"/>
                <w:sz w:val="20"/>
                <w:szCs w:val="20"/>
              </w:rPr>
              <w:t>(izvor 11)</w:t>
            </w:r>
          </w:p>
          <w:p w14:paraId="2112A223" w14:textId="77777777" w:rsidR="003C4E20" w:rsidRPr="0059678B" w:rsidRDefault="00386152" w:rsidP="003C2D5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9678B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3C4E20" w:rsidRPr="003C4E20" w14:paraId="4B033BBF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342489ED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9" w:type="pct"/>
          </w:tcPr>
          <w:p w14:paraId="78CC270E" w14:textId="77777777" w:rsidR="003C4E20" w:rsidRPr="0059678B" w:rsidRDefault="007A38FD" w:rsidP="003C4E20">
            <w:pPr>
              <w:rPr>
                <w:rFonts w:cstheme="minorHAnsi"/>
                <w:sz w:val="20"/>
                <w:szCs w:val="20"/>
              </w:rPr>
            </w:pPr>
            <w:r w:rsidRPr="0059678B">
              <w:rPr>
                <w:rFonts w:cstheme="minorHAnsi"/>
                <w:sz w:val="20"/>
                <w:szCs w:val="20"/>
              </w:rPr>
              <w:t>MINTS</w:t>
            </w:r>
          </w:p>
        </w:tc>
      </w:tr>
      <w:tr w:rsidR="003C4E20" w:rsidRPr="003C4E20" w14:paraId="11E013D3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5617EB5F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9" w:type="pct"/>
          </w:tcPr>
          <w:p w14:paraId="6EAD854F" w14:textId="75AB1FE2" w:rsidR="003C4E20" w:rsidRPr="0059678B" w:rsidRDefault="00BF06E2" w:rsidP="003C4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59678B">
              <w:rPr>
                <w:rFonts w:cstheme="minorHAnsi"/>
                <w:sz w:val="20"/>
                <w:szCs w:val="20"/>
              </w:rPr>
              <w:t>JLP(R)S, turističk</w:t>
            </w:r>
            <w:r w:rsidR="009B257F">
              <w:rPr>
                <w:rFonts w:cstheme="minorHAnsi"/>
                <w:sz w:val="20"/>
                <w:szCs w:val="20"/>
              </w:rPr>
              <w:t>e</w:t>
            </w:r>
            <w:r w:rsidRPr="0059678B">
              <w:rPr>
                <w:rFonts w:cstheme="minorHAnsi"/>
                <w:sz w:val="20"/>
                <w:szCs w:val="20"/>
              </w:rPr>
              <w:t xml:space="preserve"> zajednic</w:t>
            </w:r>
            <w:r w:rsidR="009B257F">
              <w:rPr>
                <w:rFonts w:cstheme="minorHAnsi"/>
                <w:sz w:val="20"/>
                <w:szCs w:val="20"/>
              </w:rPr>
              <w:t>e</w:t>
            </w:r>
            <w:r w:rsidRPr="0059678B">
              <w:rPr>
                <w:rFonts w:cstheme="minorHAnsi"/>
                <w:sz w:val="20"/>
                <w:szCs w:val="20"/>
              </w:rPr>
              <w:t>, HTZ, JU ZP</w:t>
            </w:r>
          </w:p>
        </w:tc>
      </w:tr>
      <w:tr w:rsidR="003C4E20" w:rsidRPr="003C4E20" w14:paraId="0081EEAA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5C653D53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Oznaka mjere </w:t>
            </w:r>
          </w:p>
        </w:tc>
        <w:tc>
          <w:tcPr>
            <w:tcW w:w="3329" w:type="pct"/>
          </w:tcPr>
          <w:p w14:paraId="32EE716B" w14:textId="77777777" w:rsidR="003C4E20" w:rsidRPr="0059678B" w:rsidRDefault="007A38FD" w:rsidP="003C4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59678B">
              <w:rPr>
                <w:rFonts w:cstheme="minorHAnsi"/>
                <w:sz w:val="20"/>
                <w:szCs w:val="20"/>
              </w:rPr>
              <w:t>I</w:t>
            </w:r>
          </w:p>
        </w:tc>
      </w:tr>
    </w:tbl>
    <w:p w14:paraId="13ADAC9A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3"/>
        <w:gridCol w:w="6003"/>
      </w:tblGrid>
      <w:tr w:rsidR="003C4E20" w:rsidRPr="003C4E20" w14:paraId="5888B144" w14:textId="77777777" w:rsidTr="003C4E20">
        <w:tc>
          <w:tcPr>
            <w:tcW w:w="5000" w:type="pct"/>
            <w:gridSpan w:val="2"/>
            <w:shd w:val="clear" w:color="auto" w:fill="BDD6EE" w:themeFill="accent1" w:themeFillTint="66"/>
          </w:tcPr>
          <w:p w14:paraId="08C3564F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50" w:name="_Toc136497276"/>
            <w:bookmarkStart w:id="51" w:name="_Toc140856026"/>
            <w:bookmarkStart w:id="52" w:name="_Toc141982424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4.2.</w:t>
            </w:r>
            <w:bookmarkEnd w:id="50"/>
            <w:bookmarkEnd w:id="51"/>
            <w:bookmarkEnd w:id="52"/>
          </w:p>
          <w:p w14:paraId="48D2C2D1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53" w:name="_Toc140856027"/>
            <w:bookmarkStart w:id="54" w:name="_Toc141982425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Jačati otpornost turizma na posljedice klimatskih promjena</w:t>
            </w:r>
            <w:bookmarkEnd w:id="53"/>
            <w:bookmarkEnd w:id="54"/>
          </w:p>
        </w:tc>
      </w:tr>
      <w:tr w:rsidR="00D0611A" w:rsidRPr="003C4E20" w14:paraId="182CCAF5" w14:textId="77777777" w:rsidTr="003C2D58">
        <w:tc>
          <w:tcPr>
            <w:tcW w:w="1671" w:type="pct"/>
            <w:shd w:val="clear" w:color="auto" w:fill="DEEAF6" w:themeFill="accent1" w:themeFillTint="33"/>
          </w:tcPr>
          <w:p w14:paraId="0F055E10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55EA" w14:textId="1EAC59C8" w:rsidR="00D0611A" w:rsidRPr="000D5D0D" w:rsidRDefault="00D0611A" w:rsidP="00D0611A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D5D0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 svrhu osvješćivanja nužnosti prilagodbe turističkog sektora klimatskim promjenama te implementacije relevantnih mjera i aktivnosti, unaprijedit će se postojeći i uspostaviti novi mehanizmi kojima će se osigurati provedba mjera Strategije prilagodbe klimatskim promjenama Republike Hrvatske za razdoblje do 2040. godine s pogledom na 2070. godinu. Naglasak je na edukacij</w:t>
            </w:r>
            <w:r w:rsidR="0086571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</w:t>
            </w:r>
            <w:r w:rsidRPr="000D5D0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 jačanju svijesti ciljanih skupina dionika (npr. srednjih i strukovnih škola, udruga u turizmu) o rizicima, učincima i načinima prilagodbe turizma na klimatske promjene.</w:t>
            </w:r>
          </w:p>
          <w:p w14:paraId="144AE480" w14:textId="77777777" w:rsidR="00D0611A" w:rsidRPr="00EA0BAC" w:rsidRDefault="00D0611A" w:rsidP="00D0611A">
            <w:pPr>
              <w:jc w:val="both"/>
              <w:rPr>
                <w:sz w:val="20"/>
                <w:szCs w:val="20"/>
              </w:rPr>
            </w:pPr>
          </w:p>
        </w:tc>
      </w:tr>
      <w:tr w:rsidR="00D0611A" w:rsidRPr="003C4E20" w14:paraId="6E293340" w14:textId="77777777" w:rsidTr="003C2D58">
        <w:tc>
          <w:tcPr>
            <w:tcW w:w="1671" w:type="pct"/>
            <w:shd w:val="clear" w:color="auto" w:fill="DEEAF6" w:themeFill="accent1" w:themeFillTint="33"/>
          </w:tcPr>
          <w:p w14:paraId="0972E549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D18D" w14:textId="77777777" w:rsidR="003C2D58" w:rsidRPr="003C2D58" w:rsidRDefault="00D0611A" w:rsidP="00D0611A">
            <w:pPr>
              <w:spacing w:after="24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C2D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provedenih edukacija u svrhu jačanja svijesti dionika u turizmu o prilagodbi klimatskim promjenama</w:t>
            </w:r>
            <w:r w:rsidRPr="003C2D58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. </w:t>
            </w:r>
            <w:r w:rsidRPr="003C2D58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br/>
            </w:r>
            <w:r w:rsidR="003C2D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2026.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="003C2D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  <w:r w:rsidR="003C2D58" w:rsidRPr="003C2D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br/>
              <w:t xml:space="preserve">2027. – </w:t>
            </w:r>
            <w:r w:rsidR="003C2D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  <w:p w14:paraId="0DBDD243" w14:textId="77777777" w:rsidR="00D0611A" w:rsidRDefault="00D0611A" w:rsidP="003C2D58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C2D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globalnih, EU i nacionalnih projekata i inicijativa vezanih uz prilagodbu turizma klimatskim promjenama u kojima sudjeluje MINTS</w:t>
            </w:r>
            <w:r w:rsidRPr="003C2D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br/>
              <w:t xml:space="preserve">2026.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3C2D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  <w:r w:rsidRPr="003C2D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br/>
              <w:t>2027. – 2</w:t>
            </w:r>
          </w:p>
          <w:p w14:paraId="4638051E" w14:textId="77777777" w:rsidR="003553F8" w:rsidRPr="00A628EA" w:rsidRDefault="003553F8" w:rsidP="003C2D58">
            <w:pPr>
              <w:rPr>
                <w:sz w:val="20"/>
                <w:szCs w:val="20"/>
              </w:rPr>
            </w:pPr>
          </w:p>
        </w:tc>
      </w:tr>
      <w:tr w:rsidR="00D0611A" w:rsidRPr="003C4E20" w14:paraId="0B3C5DEB" w14:textId="77777777" w:rsidTr="003C2D58">
        <w:tc>
          <w:tcPr>
            <w:tcW w:w="1671" w:type="pct"/>
            <w:shd w:val="clear" w:color="auto" w:fill="DEEAF6" w:themeFill="accent1" w:themeFillTint="33"/>
          </w:tcPr>
          <w:p w14:paraId="3DA018E8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375" w14:textId="77777777" w:rsidR="00D0611A" w:rsidRPr="003553F8" w:rsidRDefault="003553F8" w:rsidP="003553F8">
            <w:pPr>
              <w:shd w:val="clear" w:color="auto" w:fill="FFFFFF"/>
              <w:spacing w:after="2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50.000,00 EUR</w:t>
            </w:r>
          </w:p>
        </w:tc>
      </w:tr>
      <w:tr w:rsidR="00D0611A" w:rsidRPr="003C4E20" w14:paraId="2BF90B43" w14:textId="77777777" w:rsidTr="003C2D58">
        <w:tc>
          <w:tcPr>
            <w:tcW w:w="1671" w:type="pct"/>
            <w:shd w:val="clear" w:color="auto" w:fill="DEEAF6" w:themeFill="accent1" w:themeFillTint="33"/>
          </w:tcPr>
          <w:p w14:paraId="25EBAEC1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E64C" w14:textId="77777777" w:rsidR="00D0611A" w:rsidRDefault="00D0611A" w:rsidP="003C2D58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C2D58">
              <w:rPr>
                <w:rFonts w:cstheme="minorHAnsi"/>
                <w:sz w:val="20"/>
                <w:szCs w:val="20"/>
              </w:rPr>
              <w:t>A916036 Podrška razvoju turističkih proizvoda posebnih oblika turizma</w:t>
            </w:r>
          </w:p>
          <w:p w14:paraId="40DED6B0" w14:textId="77777777" w:rsidR="0099472B" w:rsidRDefault="00604108" w:rsidP="003C2D58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– </w:t>
            </w:r>
            <w:r w:rsidR="0099472B" w:rsidRPr="0099472B">
              <w:rPr>
                <w:sz w:val="20"/>
                <w:szCs w:val="20"/>
              </w:rPr>
              <w:t>50.000,00 EUR</w:t>
            </w:r>
            <w:r w:rsidR="009214E7">
              <w:rPr>
                <w:sz w:val="20"/>
                <w:szCs w:val="20"/>
              </w:rPr>
              <w:t xml:space="preserve"> (izvor 11)</w:t>
            </w:r>
          </w:p>
          <w:p w14:paraId="3FDEF90D" w14:textId="77777777" w:rsidR="00604108" w:rsidRDefault="00E27D23" w:rsidP="003C2D58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2027. – 0</w:t>
            </w:r>
          </w:p>
          <w:p w14:paraId="68053CC4" w14:textId="77777777" w:rsidR="00E27D23" w:rsidRPr="00A628EA" w:rsidRDefault="00E27D23" w:rsidP="003C2D5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0611A" w:rsidRPr="003C4E20" w14:paraId="7BC9EDA4" w14:textId="77777777" w:rsidTr="003C2D58">
        <w:tc>
          <w:tcPr>
            <w:tcW w:w="1671" w:type="pct"/>
            <w:shd w:val="clear" w:color="auto" w:fill="DEEAF6" w:themeFill="accent1" w:themeFillTint="33"/>
          </w:tcPr>
          <w:p w14:paraId="0C31DDF0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F66F" w14:textId="77777777" w:rsidR="00D0611A" w:rsidRPr="00D0611A" w:rsidRDefault="00D0611A" w:rsidP="00D0611A">
            <w:pPr>
              <w:rPr>
                <w:sz w:val="20"/>
                <w:szCs w:val="20"/>
              </w:rPr>
            </w:pPr>
            <w:r w:rsidRPr="00D0611A">
              <w:rPr>
                <w:sz w:val="20"/>
                <w:szCs w:val="20"/>
              </w:rPr>
              <w:t>MINTS</w:t>
            </w:r>
          </w:p>
        </w:tc>
      </w:tr>
      <w:tr w:rsidR="00D0611A" w:rsidRPr="003C4E20" w14:paraId="03F80CE8" w14:textId="77777777" w:rsidTr="003C2D58">
        <w:tc>
          <w:tcPr>
            <w:tcW w:w="1671" w:type="pct"/>
            <w:shd w:val="clear" w:color="auto" w:fill="DEEAF6" w:themeFill="accent1" w:themeFillTint="33"/>
          </w:tcPr>
          <w:p w14:paraId="0CAEAD62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455F" w14:textId="77777777" w:rsidR="00D0611A" w:rsidRPr="00A628EA" w:rsidRDefault="00012226" w:rsidP="00012226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MZOZT</w:t>
            </w:r>
            <w:r w:rsidR="00D0611A" w:rsidRPr="003C2D58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turističke zajednice</w:t>
            </w:r>
            <w:r w:rsidR="00D0611A" w:rsidRPr="003C2D58">
              <w:rPr>
                <w:rFonts w:cstheme="minorHAnsi"/>
                <w:sz w:val="20"/>
                <w:szCs w:val="20"/>
              </w:rPr>
              <w:t>, JLP(R)S, JU ZP</w:t>
            </w:r>
          </w:p>
        </w:tc>
      </w:tr>
      <w:tr w:rsidR="003C4E20" w:rsidRPr="003C4E20" w14:paraId="63B7B8C8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5E13C705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29" w:type="pct"/>
          </w:tcPr>
          <w:p w14:paraId="37C6E122" w14:textId="77777777" w:rsidR="003C4E20" w:rsidRPr="00A628EA" w:rsidRDefault="0061637C" w:rsidP="003C4E20">
            <w:pPr>
              <w:jc w:val="both"/>
              <w:rPr>
                <w:sz w:val="20"/>
                <w:szCs w:val="20"/>
              </w:rPr>
            </w:pPr>
            <w:r w:rsidRPr="00A628EA">
              <w:rPr>
                <w:sz w:val="20"/>
                <w:szCs w:val="20"/>
              </w:rPr>
              <w:t>I</w:t>
            </w:r>
          </w:p>
        </w:tc>
      </w:tr>
    </w:tbl>
    <w:p w14:paraId="1A38ABEC" w14:textId="77777777" w:rsidR="003C4E20" w:rsidRDefault="003C4E20" w:rsidP="003C4E20">
      <w:pPr>
        <w:tabs>
          <w:tab w:val="left" w:pos="705"/>
        </w:tabs>
        <w:rPr>
          <w:rFonts w:ascii="Times New Roman" w:hAnsi="Times New Roman" w:cs="Times New Roman"/>
        </w:rPr>
      </w:pPr>
    </w:p>
    <w:p w14:paraId="0B28395B" w14:textId="77777777" w:rsidR="00AB000E" w:rsidRPr="003C4E20" w:rsidRDefault="00AB000E" w:rsidP="003C4E20">
      <w:pPr>
        <w:tabs>
          <w:tab w:val="left" w:pos="705"/>
        </w:tabs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3C4E20" w:rsidRPr="003C4E20" w14:paraId="4A809564" w14:textId="77777777" w:rsidTr="003C4E20">
        <w:tc>
          <w:tcPr>
            <w:tcW w:w="5000" w:type="pct"/>
            <w:gridSpan w:val="3"/>
            <w:shd w:val="clear" w:color="auto" w:fill="002060"/>
          </w:tcPr>
          <w:p w14:paraId="212D0983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55" w:name="_Toc136497278"/>
            <w:bookmarkStart w:id="56" w:name="_Toc140856028"/>
            <w:bookmarkStart w:id="57" w:name="_Toc141982426"/>
            <w:r w:rsidRPr="003C4E20">
              <w:rPr>
                <w:rFonts w:eastAsiaTheme="majorEastAsia"/>
                <w:color w:val="2E74B5" w:themeColor="accent1" w:themeShade="BF"/>
                <w:sz w:val="28"/>
                <w:szCs w:val="32"/>
              </w:rPr>
              <w:t>Posebni cilj 5.</w:t>
            </w:r>
            <w:bookmarkEnd w:id="55"/>
            <w:bookmarkEnd w:id="56"/>
            <w:bookmarkEnd w:id="57"/>
          </w:p>
          <w:p w14:paraId="57D2BBEF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58" w:name="_Toc140856029"/>
            <w:bookmarkStart w:id="59" w:name="_Toc141982427"/>
            <w:r w:rsidRPr="003C4E20">
              <w:rPr>
                <w:rFonts w:eastAsiaTheme="majorEastAsia"/>
                <w:color w:val="2E74B5" w:themeColor="accent1" w:themeShade="BF"/>
                <w:sz w:val="28"/>
                <w:szCs w:val="32"/>
              </w:rPr>
              <w:t>JAČANJE LJUDSKIH POTENCIJALA U TURIZMU</w:t>
            </w:r>
            <w:bookmarkEnd w:id="58"/>
            <w:bookmarkEnd w:id="59"/>
          </w:p>
        </w:tc>
      </w:tr>
      <w:tr w:rsidR="003C4E20" w:rsidRPr="003C4E20" w14:paraId="31953475" w14:textId="77777777" w:rsidTr="003C4E20">
        <w:tc>
          <w:tcPr>
            <w:tcW w:w="1666" w:type="pct"/>
            <w:shd w:val="clear" w:color="auto" w:fill="DEEAF6" w:themeFill="accent1" w:themeFillTint="33"/>
          </w:tcPr>
          <w:p w14:paraId="41F007CD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ishoda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30682195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Početna vrijednost pokazatelja ishoda 2019.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25DD305D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Ciljana vrijednost pokazatelja ishoda 2027.*</w:t>
            </w:r>
          </w:p>
        </w:tc>
      </w:tr>
      <w:tr w:rsidR="003C4E20" w:rsidRPr="003C4E20" w14:paraId="5FFDADDC" w14:textId="77777777" w:rsidTr="003C4E20">
        <w:tc>
          <w:tcPr>
            <w:tcW w:w="1666" w:type="pct"/>
            <w:vAlign w:val="center"/>
          </w:tcPr>
          <w:p w14:paraId="440A29B8" w14:textId="7642099D" w:rsidR="003C4E20" w:rsidRPr="003C4E20" w:rsidRDefault="00330AB8" w:rsidP="003C4E20">
            <w:pPr>
              <w:jc w:val="center"/>
              <w:rPr>
                <w:sz w:val="20"/>
                <w:szCs w:val="20"/>
              </w:rPr>
            </w:pPr>
            <w:r w:rsidRPr="00330AB8">
              <w:rPr>
                <w:sz w:val="20"/>
                <w:szCs w:val="20"/>
              </w:rPr>
              <w:t>OI.02.8.55</w:t>
            </w:r>
            <w:r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>Indeks razvoja putovanja i turizma (TTDI-WEF) – Ljudski resursi i tržište rada</w:t>
            </w:r>
            <w:r w:rsidR="0012513F">
              <w:rPr>
                <w:sz w:val="20"/>
                <w:szCs w:val="20"/>
              </w:rPr>
              <w:t>**</w:t>
            </w:r>
          </w:p>
        </w:tc>
        <w:tc>
          <w:tcPr>
            <w:tcW w:w="1667" w:type="pct"/>
            <w:vAlign w:val="center"/>
          </w:tcPr>
          <w:p w14:paraId="54EF610B" w14:textId="77777777" w:rsidR="003C4E20" w:rsidRPr="003C4E20" w:rsidRDefault="00057814" w:rsidP="003C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67" w:type="pct"/>
            <w:vAlign w:val="center"/>
          </w:tcPr>
          <w:p w14:paraId="7E6ABDBB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 xml:space="preserve">≤ </w:t>
            </w:r>
            <w:r w:rsidR="00057814">
              <w:rPr>
                <w:sz w:val="20"/>
                <w:szCs w:val="20"/>
              </w:rPr>
              <w:t>42</w:t>
            </w:r>
          </w:p>
        </w:tc>
      </w:tr>
    </w:tbl>
    <w:p w14:paraId="2203C5BD" w14:textId="77777777" w:rsidR="003C4E20" w:rsidRDefault="003C4E20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 w:rsidRPr="003C4E20">
        <w:rPr>
          <w:rFonts w:ascii="Times New Roman" w:hAnsi="Times New Roman" w:cs="Times New Roman"/>
          <w:i/>
          <w:sz w:val="16"/>
          <w:szCs w:val="18"/>
        </w:rPr>
        <w:t>* Sukladno Nacionalnom planu razvoja održivog turizma do 2027.</w:t>
      </w:r>
    </w:p>
    <w:p w14:paraId="337BC226" w14:textId="4E09D8E9" w:rsidR="0012513F" w:rsidRPr="003C4E20" w:rsidRDefault="0012513F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 xml:space="preserve">** </w:t>
      </w:r>
      <w:r w:rsidRPr="0012513F">
        <w:rPr>
          <w:rFonts w:ascii="Times New Roman" w:hAnsi="Times New Roman" w:cs="Times New Roman"/>
          <w:i/>
          <w:sz w:val="16"/>
          <w:szCs w:val="18"/>
        </w:rPr>
        <w:t>Vrijednosti su iskazane sukladno trenutno važećoj metodologiji</w:t>
      </w:r>
      <w:r>
        <w:rPr>
          <w:rFonts w:ascii="Times New Roman" w:hAnsi="Times New Roman" w:cs="Times New Roman"/>
          <w:i/>
          <w:sz w:val="16"/>
          <w:szCs w:val="18"/>
        </w:rPr>
        <w:t xml:space="preserve"> izračuna pokazatelja</w:t>
      </w:r>
    </w:p>
    <w:p w14:paraId="05C59DF5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3"/>
        <w:gridCol w:w="6003"/>
      </w:tblGrid>
      <w:tr w:rsidR="003C4E20" w:rsidRPr="003C4E20" w14:paraId="331609BD" w14:textId="77777777" w:rsidTr="1BBEE06B">
        <w:trPr>
          <w:trHeight w:val="300"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14:paraId="09497F9F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60" w:name="_Toc136497280"/>
            <w:bookmarkStart w:id="61" w:name="_Toc140856030"/>
            <w:bookmarkStart w:id="62" w:name="_Toc141982428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5.1.</w:t>
            </w:r>
            <w:bookmarkEnd w:id="60"/>
            <w:bookmarkEnd w:id="61"/>
            <w:bookmarkEnd w:id="62"/>
          </w:p>
          <w:p w14:paraId="63B1B267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63" w:name="_Toc140856031"/>
            <w:bookmarkStart w:id="64" w:name="_Toc141982429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Poticati i promovirati zanimanja u sektoru turizma i ugostiteljstva</w:t>
            </w:r>
            <w:bookmarkEnd w:id="63"/>
            <w:bookmarkEnd w:id="64"/>
          </w:p>
        </w:tc>
      </w:tr>
      <w:tr w:rsidR="00D0611A" w:rsidRPr="003C4E20" w14:paraId="27DEB827" w14:textId="77777777" w:rsidTr="1BBEE06B">
        <w:trPr>
          <w:trHeight w:val="300"/>
        </w:trPr>
        <w:tc>
          <w:tcPr>
            <w:tcW w:w="1671" w:type="pct"/>
            <w:shd w:val="clear" w:color="auto" w:fill="DEEAF6" w:themeFill="accent1" w:themeFillTint="33"/>
          </w:tcPr>
          <w:p w14:paraId="6F8055D9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5CE5" w14:textId="77777777" w:rsidR="00D0611A" w:rsidRDefault="00D0611A" w:rsidP="00FA58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Mjera je usmjerena na promociju zanimanja u turizmu u cilju jačanja kompetencija i podizanja kvalitete ljudskih potencijala, motiviranjem mladih za rad u turizmu, povezivanjem obrazovnih institucija i poslodavaca u turizmu i ugostiteljstvu</w:t>
            </w:r>
            <w:r w:rsidR="00CC0389">
              <w:rPr>
                <w:sz w:val="20"/>
                <w:szCs w:val="20"/>
              </w:rPr>
              <w:t xml:space="preserve"> te ublažavanja</w:t>
            </w:r>
            <w:r w:rsidR="00CC0389" w:rsidRPr="00CC0389">
              <w:rPr>
                <w:sz w:val="20"/>
                <w:szCs w:val="20"/>
              </w:rPr>
              <w:t xml:space="preserve"> utjecaja turizma na klimu i okoliš i obratno</w:t>
            </w:r>
            <w:r>
              <w:rPr>
                <w:sz w:val="20"/>
                <w:szCs w:val="20"/>
              </w:rPr>
              <w:t>. Također, programima stipendiranja namjera je motivirati mlade i dodatno potaknuti interes učenika i studenata, ali i poslodavaca u turizmu za zanimanja u sektoru turizma i ugostiteljstva te osigurati kvalitetu umrežavanja obrazovnih ustanova i poslodavaca. U cilju motiviranja na razvoj karijere u turizmu kod drugih skupina (odrasli, zaposleni i dr.) sufinancira</w:t>
            </w:r>
            <w:r w:rsidR="00057814">
              <w:rPr>
                <w:sz w:val="20"/>
                <w:szCs w:val="20"/>
              </w:rPr>
              <w:t>t će se</w:t>
            </w:r>
            <w:r>
              <w:rPr>
                <w:sz w:val="20"/>
                <w:szCs w:val="20"/>
              </w:rPr>
              <w:t xml:space="preserve"> program</w:t>
            </w:r>
            <w:r w:rsidR="0005781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i projek</w:t>
            </w:r>
            <w:r w:rsidR="00057814">
              <w:rPr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t xml:space="preserve"> udruga koji su usmjereni na poticanje cjeloživotnog osposobljavanja i usavršavanja za rad u turizmu</w:t>
            </w:r>
            <w:r w:rsidR="00FA582A">
              <w:rPr>
                <w:sz w:val="20"/>
                <w:szCs w:val="20"/>
              </w:rPr>
              <w:t xml:space="preserve"> </w:t>
            </w:r>
            <w:r w:rsidR="00FA582A" w:rsidRPr="00FA582A">
              <w:rPr>
                <w:sz w:val="20"/>
                <w:szCs w:val="20"/>
              </w:rPr>
              <w:t>s posebnim naglaskom na razvoj i dopri</w:t>
            </w:r>
            <w:r w:rsidR="00FA582A">
              <w:rPr>
                <w:sz w:val="20"/>
                <w:szCs w:val="20"/>
              </w:rPr>
              <w:t xml:space="preserve">nos cjelogodišnjeg i regionalno </w:t>
            </w:r>
            <w:r w:rsidR="00FA582A" w:rsidRPr="00FA582A">
              <w:rPr>
                <w:sz w:val="20"/>
                <w:szCs w:val="20"/>
              </w:rPr>
              <w:t>uravnoteženijeg turizma te razvoj turizma uz očuvan okoliš, prostor i klimu.</w:t>
            </w:r>
          </w:p>
          <w:p w14:paraId="707A88CB" w14:textId="77777777" w:rsidR="00295DF9" w:rsidRPr="003C4E20" w:rsidRDefault="00295DF9" w:rsidP="00FA582A">
            <w:pPr>
              <w:jc w:val="both"/>
              <w:rPr>
                <w:sz w:val="20"/>
                <w:szCs w:val="20"/>
              </w:rPr>
            </w:pPr>
          </w:p>
        </w:tc>
      </w:tr>
      <w:tr w:rsidR="00D0611A" w:rsidRPr="003C4E20" w14:paraId="778EB945" w14:textId="77777777" w:rsidTr="1BBEE06B">
        <w:trPr>
          <w:trHeight w:val="300"/>
        </w:trPr>
        <w:tc>
          <w:tcPr>
            <w:tcW w:w="1671" w:type="pct"/>
            <w:shd w:val="clear" w:color="auto" w:fill="DEEAF6" w:themeFill="accent1" w:themeFillTint="33"/>
          </w:tcPr>
          <w:p w14:paraId="264B72EE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E83B" w14:textId="77777777" w:rsidR="00D0611A" w:rsidRDefault="00D0611A" w:rsidP="00D06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Broj </w:t>
            </w:r>
            <w:r w:rsidR="00CC0389">
              <w:rPr>
                <w:sz w:val="20"/>
                <w:szCs w:val="20"/>
              </w:rPr>
              <w:t>sufinanciranih projekata škola</w:t>
            </w:r>
          </w:p>
          <w:p w14:paraId="00CDFC20" w14:textId="77777777" w:rsidR="00D0611A" w:rsidRDefault="00D0611A" w:rsidP="00CC0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</w:p>
          <w:p w14:paraId="794DFF2F" w14:textId="77777777" w:rsidR="00D0611A" w:rsidRDefault="00D0611A" w:rsidP="00CC0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</w:t>
            </w:r>
            <w:r w:rsidR="00CC038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20</w:t>
            </w:r>
          </w:p>
          <w:p w14:paraId="4043AAAE" w14:textId="77777777" w:rsidR="00CC0389" w:rsidRDefault="00CC0389" w:rsidP="00CC0389">
            <w:pPr>
              <w:rPr>
                <w:sz w:val="20"/>
                <w:szCs w:val="20"/>
              </w:rPr>
            </w:pPr>
          </w:p>
          <w:p w14:paraId="7EF7BD48" w14:textId="77777777" w:rsidR="00FA582A" w:rsidRDefault="00D0611A" w:rsidP="00D06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Broj stipendista u sektoru turizma i ugostiteljstva </w:t>
            </w:r>
          </w:p>
          <w:p w14:paraId="01257ED4" w14:textId="77777777" w:rsidR="00D0611A" w:rsidRDefault="00D0611A" w:rsidP="00CC0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</w:rPr>
              <w:t>240</w:t>
            </w:r>
          </w:p>
          <w:p w14:paraId="167F2E4F" w14:textId="77777777" w:rsidR="00D0611A" w:rsidRDefault="00D0611A" w:rsidP="00CC0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</w:rPr>
              <w:t>240</w:t>
            </w:r>
          </w:p>
          <w:p w14:paraId="28205562" w14:textId="77777777" w:rsidR="00D0611A" w:rsidRDefault="00D0611A" w:rsidP="00CC0389">
            <w:pPr>
              <w:rPr>
                <w:sz w:val="20"/>
                <w:szCs w:val="20"/>
              </w:rPr>
            </w:pPr>
          </w:p>
          <w:p w14:paraId="7B7856EB" w14:textId="77777777" w:rsidR="00D0611A" w:rsidRDefault="00D0611A" w:rsidP="00D06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Broj projekata udruga  </w:t>
            </w:r>
          </w:p>
          <w:p w14:paraId="52AB7469" w14:textId="77777777" w:rsidR="00D0611A" w:rsidRDefault="00D0611A" w:rsidP="00CC0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</w:p>
          <w:p w14:paraId="169DCC1E" w14:textId="77777777" w:rsidR="00D0611A" w:rsidRDefault="00D0611A" w:rsidP="00CC0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</w:t>
            </w:r>
            <w:r w:rsidR="00295DF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14</w:t>
            </w:r>
          </w:p>
          <w:p w14:paraId="3EAC6AEC" w14:textId="77777777" w:rsidR="00295DF9" w:rsidRPr="003C4E20" w:rsidRDefault="00295DF9" w:rsidP="00CC0389">
            <w:pPr>
              <w:rPr>
                <w:sz w:val="20"/>
                <w:szCs w:val="20"/>
              </w:rPr>
            </w:pPr>
          </w:p>
        </w:tc>
      </w:tr>
      <w:tr w:rsidR="00D0611A" w:rsidRPr="003C4E20" w14:paraId="77EF3266" w14:textId="77777777" w:rsidTr="1BBEE06B">
        <w:trPr>
          <w:trHeight w:val="300"/>
        </w:trPr>
        <w:tc>
          <w:tcPr>
            <w:tcW w:w="1671" w:type="pct"/>
            <w:shd w:val="clear" w:color="auto" w:fill="DEEAF6" w:themeFill="accent1" w:themeFillTint="33"/>
          </w:tcPr>
          <w:p w14:paraId="39668E98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0E1" w14:textId="77777777" w:rsidR="00D0611A" w:rsidRPr="003C4E20" w:rsidRDefault="00D0611A" w:rsidP="00D06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3.870.000 EUR</w:t>
            </w:r>
          </w:p>
        </w:tc>
      </w:tr>
      <w:tr w:rsidR="00D0611A" w:rsidRPr="003C4E20" w14:paraId="747EBB44" w14:textId="77777777" w:rsidTr="1BBEE06B">
        <w:trPr>
          <w:trHeight w:val="300"/>
        </w:trPr>
        <w:tc>
          <w:tcPr>
            <w:tcW w:w="1671" w:type="pct"/>
            <w:shd w:val="clear" w:color="auto" w:fill="DEEAF6" w:themeFill="accent1" w:themeFillTint="33"/>
          </w:tcPr>
          <w:p w14:paraId="2E6D6B04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AF3" w14:textId="77777777" w:rsidR="00D0611A" w:rsidRDefault="00D0611A" w:rsidP="00FA582A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A587014 Jačanje turističkog tržišta i ljudskih potencijala u turizmu</w:t>
            </w:r>
          </w:p>
          <w:p w14:paraId="7DDB2597" w14:textId="77777777" w:rsidR="0099472B" w:rsidRDefault="0099472B" w:rsidP="00FA582A">
            <w:pPr>
              <w:contextualSpacing/>
              <w:jc w:val="both"/>
              <w:rPr>
                <w:sz w:val="20"/>
                <w:szCs w:val="20"/>
              </w:rPr>
            </w:pPr>
            <w:r w:rsidRPr="0099472B">
              <w:rPr>
                <w:sz w:val="20"/>
                <w:szCs w:val="20"/>
              </w:rPr>
              <w:t xml:space="preserve">2026. – 2027. – </w:t>
            </w:r>
            <w:r w:rsidR="00604108">
              <w:rPr>
                <w:sz w:val="20"/>
                <w:szCs w:val="20"/>
              </w:rPr>
              <w:t>1.9</w:t>
            </w:r>
            <w:r w:rsidRPr="0099472B">
              <w:rPr>
                <w:sz w:val="20"/>
                <w:szCs w:val="20"/>
              </w:rPr>
              <w:t>3</w:t>
            </w:r>
            <w:r w:rsidR="00604108">
              <w:rPr>
                <w:sz w:val="20"/>
                <w:szCs w:val="20"/>
              </w:rPr>
              <w:t xml:space="preserve">5.000,00 * 2= </w:t>
            </w:r>
            <w:r w:rsidR="003A324F">
              <w:rPr>
                <w:sz w:val="20"/>
                <w:szCs w:val="20"/>
              </w:rPr>
              <w:t>3</w:t>
            </w:r>
            <w:r w:rsidRPr="0099472B">
              <w:rPr>
                <w:sz w:val="20"/>
                <w:szCs w:val="20"/>
              </w:rPr>
              <w:t>.870.000 EUR</w:t>
            </w:r>
            <w:r w:rsidR="009214E7">
              <w:rPr>
                <w:sz w:val="20"/>
                <w:szCs w:val="20"/>
              </w:rPr>
              <w:t xml:space="preserve"> (izvor 11)</w:t>
            </w:r>
          </w:p>
          <w:p w14:paraId="5B3DFF79" w14:textId="77777777" w:rsidR="00604108" w:rsidRPr="003C4E20" w:rsidRDefault="00604108" w:rsidP="00FA582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0611A" w:rsidRPr="003C4E20" w14:paraId="60268260" w14:textId="77777777" w:rsidTr="1BBEE06B">
        <w:trPr>
          <w:trHeight w:val="300"/>
        </w:trPr>
        <w:tc>
          <w:tcPr>
            <w:tcW w:w="1671" w:type="pct"/>
            <w:shd w:val="clear" w:color="auto" w:fill="DEEAF6" w:themeFill="accent1" w:themeFillTint="33"/>
          </w:tcPr>
          <w:p w14:paraId="3CE318A3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5A5" w14:textId="77777777" w:rsidR="00D0611A" w:rsidRPr="003C4E20" w:rsidRDefault="00C72B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MINTS</w:t>
            </w:r>
          </w:p>
        </w:tc>
      </w:tr>
      <w:tr w:rsidR="00D0611A" w:rsidRPr="003C4E20" w14:paraId="19CE0762" w14:textId="77777777" w:rsidTr="1BBEE06B">
        <w:trPr>
          <w:trHeight w:val="300"/>
        </w:trPr>
        <w:tc>
          <w:tcPr>
            <w:tcW w:w="1671" w:type="pct"/>
            <w:shd w:val="clear" w:color="auto" w:fill="DEEAF6" w:themeFill="accent1" w:themeFillTint="33"/>
          </w:tcPr>
          <w:p w14:paraId="40648B65" w14:textId="77777777" w:rsidR="00D0611A" w:rsidRPr="003C4E20" w:rsidRDefault="00D0611A" w:rsidP="00D0611A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7875" w14:textId="77777777" w:rsidR="00D0611A" w:rsidRPr="003C4E20" w:rsidRDefault="00C72BED" w:rsidP="00D06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D0611A">
              <w:rPr>
                <w:sz w:val="20"/>
                <w:szCs w:val="20"/>
              </w:rPr>
              <w:t>rednje strukovne i umjetničke škole, udruge, poduzetnici</w:t>
            </w:r>
          </w:p>
        </w:tc>
      </w:tr>
      <w:tr w:rsidR="003C4E20" w:rsidRPr="003C4E20" w14:paraId="6574CC7D" w14:textId="77777777" w:rsidTr="1BBEE06B">
        <w:trPr>
          <w:trHeight w:val="300"/>
        </w:trPr>
        <w:tc>
          <w:tcPr>
            <w:tcW w:w="1671" w:type="pct"/>
            <w:shd w:val="clear" w:color="auto" w:fill="DEEAF6" w:themeFill="accent1" w:themeFillTint="33"/>
          </w:tcPr>
          <w:p w14:paraId="0FFDFD37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Oznaka mjere </w:t>
            </w:r>
          </w:p>
        </w:tc>
        <w:tc>
          <w:tcPr>
            <w:tcW w:w="3329" w:type="pct"/>
          </w:tcPr>
          <w:p w14:paraId="1DE7ECD1" w14:textId="77777777" w:rsidR="003C4E20" w:rsidRPr="003C4E20" w:rsidRDefault="009167BF" w:rsidP="003C4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</w:tbl>
    <w:p w14:paraId="4CD5CAF3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3"/>
        <w:gridCol w:w="6003"/>
      </w:tblGrid>
      <w:tr w:rsidR="003C4E20" w:rsidRPr="003C4E20" w14:paraId="4BD32766" w14:textId="77777777" w:rsidTr="1BBEE06B">
        <w:tc>
          <w:tcPr>
            <w:tcW w:w="5000" w:type="pct"/>
            <w:gridSpan w:val="2"/>
            <w:shd w:val="clear" w:color="auto" w:fill="BDD6EE" w:themeFill="accent1" w:themeFillTint="66"/>
          </w:tcPr>
          <w:p w14:paraId="40D7A990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65" w:name="_Toc136497282"/>
            <w:bookmarkStart w:id="66" w:name="_Toc140856032"/>
            <w:bookmarkStart w:id="67" w:name="_Toc141982430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5.2.</w:t>
            </w:r>
            <w:bookmarkEnd w:id="65"/>
            <w:bookmarkEnd w:id="66"/>
            <w:bookmarkEnd w:id="67"/>
          </w:p>
          <w:p w14:paraId="2C90D89F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68" w:name="_Toc140856033"/>
            <w:bookmarkStart w:id="69" w:name="_Toc141982431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Usklađivati kompetencije ljudskih potencijala sa zahtjevima radnih mjesta i tržišta rada u turizmu</w:t>
            </w:r>
            <w:bookmarkEnd w:id="68"/>
            <w:bookmarkEnd w:id="69"/>
          </w:p>
        </w:tc>
      </w:tr>
      <w:tr w:rsidR="00D70E59" w:rsidRPr="003C4E20" w14:paraId="4BC2CC8D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7E9B5383" w14:textId="77777777" w:rsidR="00D70E59" w:rsidRPr="003C4E20" w:rsidRDefault="00D70E59" w:rsidP="00D70E5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9" w:type="pct"/>
          </w:tcPr>
          <w:p w14:paraId="27DFB22A" w14:textId="77777777" w:rsidR="00295DF9" w:rsidRPr="003C4E20" w:rsidRDefault="72C084CE" w:rsidP="002F2DE9">
            <w:pPr>
              <w:jc w:val="both"/>
              <w:rPr>
                <w:sz w:val="20"/>
                <w:szCs w:val="20"/>
              </w:rPr>
            </w:pPr>
            <w:r w:rsidRPr="1BBEE06B">
              <w:rPr>
                <w:sz w:val="20"/>
                <w:szCs w:val="20"/>
              </w:rPr>
              <w:t>Kroz ovu mjeru poticat će se obrazovanje odraslih koji će omogućiti stjecanje specifičnih kompetencija za rad u turizmu, osobito onih vezanih za zelenu i digitalnu tranziciju, nove trendove i potrebe turista te upravljanje u turizmu</w:t>
            </w:r>
            <w:r w:rsidR="00604108">
              <w:rPr>
                <w:sz w:val="20"/>
                <w:szCs w:val="20"/>
              </w:rPr>
              <w:t>.</w:t>
            </w:r>
            <w:r w:rsidRPr="1BBEE06B">
              <w:rPr>
                <w:sz w:val="20"/>
                <w:szCs w:val="20"/>
              </w:rPr>
              <w:t xml:space="preserve"> </w:t>
            </w:r>
            <w:r w:rsidR="00A27FAC" w:rsidRPr="00A27FAC">
              <w:rPr>
                <w:sz w:val="20"/>
                <w:szCs w:val="20"/>
              </w:rPr>
              <w:t xml:space="preserve">Poticat će se aktivnosti prilagodbe turističke ponude ranjivim skupinama kao i razvoj stručnih kompetencija s ciljem njihova uključivanja na tržište rada u sektoru turizma i ugostiteljstva. </w:t>
            </w:r>
          </w:p>
        </w:tc>
      </w:tr>
      <w:tr w:rsidR="00D70E59" w:rsidRPr="003C4E20" w14:paraId="39B4E819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0B2E0828" w14:textId="77777777" w:rsidR="00D70E59" w:rsidRPr="003C4E20" w:rsidRDefault="00D70E59" w:rsidP="00D70E5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9" w:type="pct"/>
          </w:tcPr>
          <w:p w14:paraId="7FFB8C37" w14:textId="1FD81163" w:rsidR="00D70E59" w:rsidRPr="0048030B" w:rsidRDefault="00D70E59" w:rsidP="00D70E59">
            <w:pPr>
              <w:rPr>
                <w:sz w:val="20"/>
                <w:szCs w:val="20"/>
              </w:rPr>
            </w:pPr>
            <w:r w:rsidRPr="0048030B">
              <w:rPr>
                <w:sz w:val="20"/>
                <w:szCs w:val="20"/>
              </w:rPr>
              <w:t>Broj polaznika educiranih kroz obrazovne programe u sektoru turizma i ugostiteljstva</w:t>
            </w:r>
            <w:r w:rsidR="009B257F">
              <w:rPr>
                <w:rStyle w:val="FootnoteReference"/>
                <w:sz w:val="20"/>
                <w:szCs w:val="20"/>
              </w:rPr>
              <w:footnoteReference w:id="7"/>
            </w:r>
          </w:p>
          <w:p w14:paraId="703F2831" w14:textId="77777777" w:rsidR="00D70E59" w:rsidRDefault="00D70E59" w:rsidP="00472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</w:p>
          <w:p w14:paraId="41F5D6B6" w14:textId="77777777" w:rsidR="00D70E59" w:rsidRDefault="00D70E59" w:rsidP="00472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– 0 </w:t>
            </w:r>
          </w:p>
          <w:p w14:paraId="0F3AE826" w14:textId="77777777" w:rsidR="00D70E59" w:rsidRDefault="00D70E59" w:rsidP="00D70E59">
            <w:pPr>
              <w:ind w:left="448" w:hanging="142"/>
              <w:rPr>
                <w:sz w:val="20"/>
                <w:szCs w:val="20"/>
              </w:rPr>
            </w:pPr>
          </w:p>
          <w:p w14:paraId="61E8C016" w14:textId="77777777" w:rsidR="00D70E59" w:rsidRDefault="0A4306B1" w:rsidP="00D70E59">
            <w:pPr>
              <w:rPr>
                <w:sz w:val="20"/>
                <w:szCs w:val="20"/>
              </w:rPr>
            </w:pPr>
            <w:r w:rsidRPr="1BBEE06B">
              <w:rPr>
                <w:sz w:val="20"/>
                <w:szCs w:val="20"/>
              </w:rPr>
              <w:t>Broj ugovorenih projek</w:t>
            </w:r>
            <w:r w:rsidR="45E428CD" w:rsidRPr="1BBEE06B">
              <w:rPr>
                <w:sz w:val="20"/>
                <w:szCs w:val="20"/>
              </w:rPr>
              <w:t>a</w:t>
            </w:r>
            <w:r w:rsidRPr="1BBEE06B">
              <w:rPr>
                <w:sz w:val="20"/>
                <w:szCs w:val="20"/>
              </w:rPr>
              <w:t>ta</w:t>
            </w:r>
            <w:r w:rsidR="614BC357" w:rsidRPr="1BBEE06B">
              <w:rPr>
                <w:sz w:val="20"/>
                <w:szCs w:val="20"/>
              </w:rPr>
              <w:t xml:space="preserve"> </w:t>
            </w:r>
            <w:r w:rsidR="72C084CE" w:rsidRPr="1BBEE06B">
              <w:rPr>
                <w:sz w:val="20"/>
                <w:szCs w:val="20"/>
              </w:rPr>
              <w:t xml:space="preserve"> </w:t>
            </w:r>
          </w:p>
          <w:p w14:paraId="391DF45E" w14:textId="77777777" w:rsidR="00D70E59" w:rsidRPr="007D53C2" w:rsidRDefault="00D70E59" w:rsidP="00472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</w:p>
          <w:p w14:paraId="4D3494F6" w14:textId="77777777" w:rsidR="00D70E59" w:rsidRDefault="00D70E59" w:rsidP="004720CC">
            <w:pPr>
              <w:contextualSpacing/>
              <w:jc w:val="both"/>
              <w:rPr>
                <w:sz w:val="20"/>
                <w:szCs w:val="20"/>
              </w:rPr>
            </w:pPr>
            <w:r w:rsidRPr="007D53C2">
              <w:rPr>
                <w:sz w:val="20"/>
                <w:szCs w:val="20"/>
              </w:rPr>
              <w:t>2027. – 0</w:t>
            </w:r>
          </w:p>
          <w:p w14:paraId="754380E6" w14:textId="77777777" w:rsidR="00900942" w:rsidRPr="003C4E20" w:rsidRDefault="00900942" w:rsidP="004720C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70E59" w:rsidRPr="003C4E20" w14:paraId="506AFBF1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6C38DA53" w14:textId="77777777" w:rsidR="00D70E59" w:rsidRPr="003C4E20" w:rsidRDefault="00D70E59" w:rsidP="00D70E5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9" w:type="pct"/>
          </w:tcPr>
          <w:p w14:paraId="5C1C9AC9" w14:textId="772BD9A7" w:rsidR="00D70E59" w:rsidRPr="003C4E20" w:rsidRDefault="00BB0754" w:rsidP="00D70E59">
            <w:pPr>
              <w:jc w:val="both"/>
              <w:rPr>
                <w:sz w:val="20"/>
                <w:szCs w:val="20"/>
              </w:rPr>
            </w:pPr>
            <w:r w:rsidRPr="00BB0754">
              <w:rPr>
                <w:sz w:val="20"/>
                <w:szCs w:val="20"/>
              </w:rPr>
              <w:t>1.886.223,</w:t>
            </w:r>
            <w:r w:rsidR="00D5364B">
              <w:rPr>
                <w:sz w:val="20"/>
                <w:szCs w:val="20"/>
              </w:rPr>
              <w:t xml:space="preserve">00 </w:t>
            </w:r>
            <w:r w:rsidR="00980673" w:rsidRPr="00980673">
              <w:rPr>
                <w:sz w:val="20"/>
                <w:szCs w:val="20"/>
              </w:rPr>
              <w:t>EUR</w:t>
            </w:r>
            <w:r w:rsidR="00980673" w:rsidRPr="00980673" w:rsidDel="00980673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70E59" w:rsidRPr="003C4E20" w14:paraId="78432F5F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33502E1C" w14:textId="77777777" w:rsidR="00D70E59" w:rsidRPr="003C4E20" w:rsidRDefault="00D70E59" w:rsidP="00D70E5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9" w:type="pct"/>
          </w:tcPr>
          <w:p w14:paraId="2605AEAE" w14:textId="208CF1CC" w:rsidR="004720CC" w:rsidRDefault="00C75C7A" w:rsidP="004720C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A91604204 </w:t>
            </w:r>
            <w:r w:rsidR="00D70E59" w:rsidRPr="007A7E6F">
              <w:rPr>
                <w:sz w:val="20"/>
                <w:szCs w:val="20"/>
              </w:rPr>
              <w:t>P</w:t>
            </w:r>
            <w:r w:rsidR="00D70E59">
              <w:rPr>
                <w:sz w:val="20"/>
                <w:szCs w:val="20"/>
              </w:rPr>
              <w:t>rojekt</w:t>
            </w:r>
            <w:r w:rsidR="00D70E59" w:rsidRPr="007A7E6F">
              <w:rPr>
                <w:sz w:val="20"/>
                <w:szCs w:val="20"/>
              </w:rPr>
              <w:t xml:space="preserve"> </w:t>
            </w:r>
            <w:r w:rsidR="00D70E59">
              <w:rPr>
                <w:sz w:val="20"/>
                <w:szCs w:val="20"/>
              </w:rPr>
              <w:t>„Turizam za sve“</w:t>
            </w:r>
          </w:p>
          <w:p w14:paraId="1AFB9431" w14:textId="67006358" w:rsidR="00367B71" w:rsidRDefault="004720CC" w:rsidP="004720CC">
            <w:pPr>
              <w:contextualSpacing/>
              <w:jc w:val="both"/>
              <w:rPr>
                <w:sz w:val="20"/>
                <w:szCs w:val="20"/>
              </w:rPr>
            </w:pPr>
            <w:r w:rsidRPr="40332790">
              <w:rPr>
                <w:sz w:val="20"/>
                <w:szCs w:val="20"/>
              </w:rPr>
              <w:t>2026</w:t>
            </w:r>
            <w:r w:rsidR="00604108">
              <w:rPr>
                <w:sz w:val="20"/>
                <w:szCs w:val="20"/>
              </w:rPr>
              <w:t>.</w:t>
            </w:r>
            <w:r w:rsidR="004537D0">
              <w:rPr>
                <w:sz w:val="20"/>
                <w:szCs w:val="20"/>
              </w:rPr>
              <w:t xml:space="preserve"> </w:t>
            </w:r>
            <w:r w:rsidR="00200AB2">
              <w:rPr>
                <w:sz w:val="20"/>
                <w:szCs w:val="20"/>
              </w:rPr>
              <w:t>–</w:t>
            </w:r>
            <w:r w:rsidR="002E6620">
              <w:rPr>
                <w:sz w:val="20"/>
                <w:szCs w:val="20"/>
              </w:rPr>
              <w:t xml:space="preserve"> </w:t>
            </w:r>
            <w:r w:rsidR="005142C4">
              <w:rPr>
                <w:sz w:val="20"/>
                <w:szCs w:val="20"/>
              </w:rPr>
              <w:t>363.980</w:t>
            </w:r>
            <w:r w:rsidR="00640730">
              <w:rPr>
                <w:sz w:val="20"/>
                <w:szCs w:val="20"/>
              </w:rPr>
              <w:t>,00 EUR</w:t>
            </w:r>
            <w:r w:rsidR="009214E7">
              <w:rPr>
                <w:sz w:val="20"/>
                <w:szCs w:val="20"/>
              </w:rPr>
              <w:t xml:space="preserve"> (izvor 12</w:t>
            </w:r>
            <w:r w:rsidR="00367B71">
              <w:rPr>
                <w:sz w:val="20"/>
                <w:szCs w:val="20"/>
              </w:rPr>
              <w:t>-54.603,00</w:t>
            </w:r>
            <w:r w:rsidR="009214E7">
              <w:rPr>
                <w:sz w:val="20"/>
                <w:szCs w:val="20"/>
              </w:rPr>
              <w:t>, izvor 561</w:t>
            </w:r>
            <w:r w:rsidR="00367B71">
              <w:rPr>
                <w:sz w:val="20"/>
                <w:szCs w:val="20"/>
              </w:rPr>
              <w:t>-309.377,00)</w:t>
            </w:r>
          </w:p>
          <w:p w14:paraId="1CDC6071" w14:textId="356FF933" w:rsidR="0075547E" w:rsidRDefault="004720CC" w:rsidP="004720CC">
            <w:pPr>
              <w:contextualSpacing/>
              <w:jc w:val="both"/>
              <w:rPr>
                <w:sz w:val="20"/>
                <w:szCs w:val="20"/>
              </w:rPr>
            </w:pPr>
            <w:r w:rsidRPr="40332790">
              <w:rPr>
                <w:sz w:val="20"/>
                <w:szCs w:val="20"/>
              </w:rPr>
              <w:t>2027</w:t>
            </w:r>
            <w:r w:rsidR="004537D0">
              <w:rPr>
                <w:sz w:val="20"/>
                <w:szCs w:val="20"/>
              </w:rPr>
              <w:t>.</w:t>
            </w:r>
            <w:r w:rsidR="7C52B0CD" w:rsidRPr="40332790">
              <w:rPr>
                <w:sz w:val="20"/>
                <w:szCs w:val="20"/>
              </w:rPr>
              <w:t xml:space="preserve"> –</w:t>
            </w:r>
            <w:r w:rsidR="002E6620">
              <w:rPr>
                <w:sz w:val="20"/>
                <w:szCs w:val="20"/>
              </w:rPr>
              <w:t xml:space="preserve"> </w:t>
            </w:r>
            <w:r w:rsidR="00C20EC0">
              <w:rPr>
                <w:sz w:val="20"/>
                <w:szCs w:val="20"/>
              </w:rPr>
              <w:t>1.124.075</w:t>
            </w:r>
            <w:r w:rsidR="00640730">
              <w:rPr>
                <w:sz w:val="20"/>
                <w:szCs w:val="20"/>
              </w:rPr>
              <w:t>,00</w:t>
            </w:r>
            <w:r w:rsidRPr="40332790">
              <w:rPr>
                <w:sz w:val="20"/>
                <w:szCs w:val="20"/>
              </w:rPr>
              <w:t xml:space="preserve"> EUR</w:t>
            </w:r>
            <w:r w:rsidR="009214E7">
              <w:rPr>
                <w:sz w:val="20"/>
                <w:szCs w:val="20"/>
              </w:rPr>
              <w:t xml:space="preserve"> (izvor 12</w:t>
            </w:r>
            <w:r w:rsidR="00367B71">
              <w:rPr>
                <w:sz w:val="20"/>
                <w:szCs w:val="20"/>
              </w:rPr>
              <w:t>-168.611,00</w:t>
            </w:r>
            <w:r w:rsidR="009214E7">
              <w:rPr>
                <w:sz w:val="20"/>
                <w:szCs w:val="20"/>
              </w:rPr>
              <w:t>, izvor 561</w:t>
            </w:r>
            <w:r w:rsidR="00367B71">
              <w:rPr>
                <w:sz w:val="20"/>
                <w:szCs w:val="20"/>
              </w:rPr>
              <w:t>-955.464,00</w:t>
            </w:r>
            <w:r w:rsidR="009214E7">
              <w:rPr>
                <w:sz w:val="20"/>
                <w:szCs w:val="20"/>
              </w:rPr>
              <w:t>)</w:t>
            </w:r>
          </w:p>
          <w:p w14:paraId="4D6C8958" w14:textId="77777777" w:rsidR="00604108" w:rsidRDefault="00604108" w:rsidP="004720CC">
            <w:pPr>
              <w:contextualSpacing/>
              <w:jc w:val="both"/>
              <w:rPr>
                <w:sz w:val="20"/>
                <w:szCs w:val="20"/>
              </w:rPr>
            </w:pPr>
          </w:p>
          <w:p w14:paraId="57DDDAF2" w14:textId="77777777" w:rsidR="009146D2" w:rsidRDefault="009146D2" w:rsidP="004720CC">
            <w:pPr>
              <w:contextualSpacing/>
              <w:jc w:val="both"/>
              <w:rPr>
                <w:sz w:val="20"/>
                <w:szCs w:val="20"/>
              </w:rPr>
            </w:pPr>
            <w:r w:rsidRPr="009146D2">
              <w:rPr>
                <w:sz w:val="20"/>
                <w:szCs w:val="20"/>
              </w:rPr>
              <w:t>A916035 Razvoj održivog, inovativnog i otpornog turizma – NPOO –</w:t>
            </w:r>
          </w:p>
          <w:p w14:paraId="752557EB" w14:textId="77777777" w:rsidR="0075547E" w:rsidRDefault="0075547E" w:rsidP="004720C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A91603505</w:t>
            </w:r>
            <w:r w:rsidR="009146D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 xml:space="preserve"> </w:t>
            </w:r>
            <w:r w:rsidR="009146D2">
              <w:rPr>
                <w:rFonts w:ascii="Calibri" w:hAnsi="Calibri" w:cs="Calibri"/>
                <w:sz w:val="20"/>
                <w:szCs w:val="20"/>
              </w:rPr>
              <w:t>C1.6.R1-I3</w:t>
            </w:r>
            <w:r w:rsidR="009146D2" w:rsidRPr="00535A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Jačanje kapaciteta sustava za otporan i održiv turizam </w:t>
            </w:r>
          </w:p>
          <w:p w14:paraId="1C6A0417" w14:textId="4725D1D2" w:rsidR="00367B71" w:rsidRDefault="0075547E" w:rsidP="004720C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</w:t>
            </w:r>
            <w:r w:rsidR="007615EC">
              <w:rPr>
                <w:sz w:val="20"/>
                <w:szCs w:val="20"/>
              </w:rPr>
              <w:t xml:space="preserve"> </w:t>
            </w:r>
            <w:r w:rsidR="007615EC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615EC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="007615EC" w:rsidRPr="007615EC">
              <w:rPr>
                <w:sz w:val="20"/>
                <w:szCs w:val="20"/>
              </w:rPr>
              <w:t>398.168,</w:t>
            </w:r>
            <w:r w:rsidR="00125277">
              <w:rPr>
                <w:sz w:val="20"/>
                <w:szCs w:val="20"/>
              </w:rPr>
              <w:t>00</w:t>
            </w:r>
            <w:r w:rsidR="007615EC">
              <w:rPr>
                <w:sz w:val="20"/>
                <w:szCs w:val="20"/>
              </w:rPr>
              <w:t xml:space="preserve"> EUR</w:t>
            </w:r>
            <w:r w:rsidR="009214E7">
              <w:rPr>
                <w:sz w:val="20"/>
                <w:szCs w:val="20"/>
              </w:rPr>
              <w:t xml:space="preserve"> (izvor 581</w:t>
            </w:r>
            <w:r w:rsidR="00367B71">
              <w:rPr>
                <w:sz w:val="20"/>
                <w:szCs w:val="20"/>
              </w:rPr>
              <w:t>)</w:t>
            </w:r>
          </w:p>
          <w:p w14:paraId="15FBBE92" w14:textId="457B0B37" w:rsidR="00640730" w:rsidRDefault="00640730" w:rsidP="004720CC">
            <w:pPr>
              <w:contextualSpacing/>
              <w:jc w:val="both"/>
              <w:rPr>
                <w:sz w:val="20"/>
                <w:szCs w:val="20"/>
              </w:rPr>
            </w:pPr>
            <w:r w:rsidRPr="00640730">
              <w:rPr>
                <w:sz w:val="20"/>
                <w:szCs w:val="20"/>
              </w:rPr>
              <w:t>2027. – 0</w:t>
            </w:r>
          </w:p>
          <w:p w14:paraId="75CA9857" w14:textId="77777777" w:rsidR="00D70E59" w:rsidRPr="003C4E20" w:rsidRDefault="004720CC" w:rsidP="004720CC">
            <w:pPr>
              <w:contextualSpacing/>
              <w:jc w:val="both"/>
              <w:rPr>
                <w:sz w:val="20"/>
                <w:szCs w:val="20"/>
              </w:rPr>
            </w:pPr>
            <w:r>
              <w:tab/>
            </w:r>
            <w:r>
              <w:tab/>
            </w:r>
          </w:p>
        </w:tc>
      </w:tr>
      <w:tr w:rsidR="00D70E59" w:rsidRPr="003C4E20" w14:paraId="6F787485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447D53C3" w14:textId="77777777" w:rsidR="00D70E59" w:rsidRPr="003C4E20" w:rsidRDefault="00D70E59" w:rsidP="00D70E5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9" w:type="pct"/>
          </w:tcPr>
          <w:p w14:paraId="17032A3F" w14:textId="77777777" w:rsidR="00D70E59" w:rsidRPr="003C4E20" w:rsidRDefault="00D70E59" w:rsidP="00D70E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MINTS</w:t>
            </w:r>
          </w:p>
        </w:tc>
      </w:tr>
      <w:tr w:rsidR="00D70E59" w:rsidRPr="003C4E20" w14:paraId="3D80F9AF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7B1B1703" w14:textId="77777777" w:rsidR="00D70E59" w:rsidRPr="003C4E20" w:rsidRDefault="00D70E59" w:rsidP="00D70E5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9" w:type="pct"/>
          </w:tcPr>
          <w:p w14:paraId="594EC24D" w14:textId="77777777" w:rsidR="00D70E59" w:rsidRPr="003C4E20" w:rsidRDefault="00D70E59" w:rsidP="00D70E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HZZ</w:t>
            </w:r>
          </w:p>
        </w:tc>
      </w:tr>
      <w:tr w:rsidR="00D70E59" w:rsidRPr="003C4E20" w14:paraId="14509C18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17F79621" w14:textId="77777777" w:rsidR="00D70E59" w:rsidRPr="003C4E20" w:rsidRDefault="00D70E59" w:rsidP="00D70E59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29" w:type="pct"/>
          </w:tcPr>
          <w:p w14:paraId="10472484" w14:textId="77777777" w:rsidR="00D70E59" w:rsidRPr="003C4E20" w:rsidRDefault="00D70E59" w:rsidP="00D70E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362998">
              <w:rPr>
                <w:sz w:val="20"/>
                <w:szCs w:val="20"/>
              </w:rPr>
              <w:t>, I</w:t>
            </w:r>
          </w:p>
        </w:tc>
      </w:tr>
    </w:tbl>
    <w:p w14:paraId="73810AC6" w14:textId="77777777" w:rsidR="003C4E20" w:rsidRDefault="003C4E20" w:rsidP="003C4E20">
      <w:pPr>
        <w:rPr>
          <w:rFonts w:ascii="Times New Roman" w:hAnsi="Times New Roman" w:cs="Times New Roman"/>
        </w:rPr>
      </w:pPr>
    </w:p>
    <w:p w14:paraId="020C9DCD" w14:textId="33F137AD" w:rsidR="00EC64D2" w:rsidRPr="003C4E20" w:rsidRDefault="00EC64D2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00"/>
        <w:gridCol w:w="2997"/>
        <w:gridCol w:w="2999"/>
      </w:tblGrid>
      <w:tr w:rsidR="003C4E20" w:rsidRPr="003C4E20" w14:paraId="0FABE493" w14:textId="77777777" w:rsidTr="003C4E20">
        <w:tc>
          <w:tcPr>
            <w:tcW w:w="5000" w:type="pct"/>
            <w:gridSpan w:val="3"/>
            <w:shd w:val="clear" w:color="auto" w:fill="002060"/>
          </w:tcPr>
          <w:p w14:paraId="74C2969A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71" w:name="_Toc136497284"/>
            <w:bookmarkStart w:id="72" w:name="_Toc140856034"/>
            <w:bookmarkStart w:id="73" w:name="_Toc141982432"/>
            <w:r w:rsidRPr="003C4E20">
              <w:rPr>
                <w:rFonts w:eastAsiaTheme="majorEastAsia"/>
                <w:color w:val="2E74B5" w:themeColor="accent1" w:themeShade="BF"/>
                <w:sz w:val="28"/>
                <w:szCs w:val="32"/>
              </w:rPr>
              <w:t>Posebni cilj 6.</w:t>
            </w:r>
            <w:bookmarkEnd w:id="71"/>
            <w:bookmarkEnd w:id="72"/>
            <w:bookmarkEnd w:id="73"/>
          </w:p>
          <w:p w14:paraId="681884CF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74" w:name="_Toc140856035"/>
            <w:bookmarkStart w:id="75" w:name="_Toc141982433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>UNAPRJEĐENJE STRUKTURE I KVALITETE SMJEŠTAJNIH KAPACITETA</w:t>
            </w:r>
            <w:bookmarkEnd w:id="74"/>
            <w:bookmarkEnd w:id="75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ab/>
            </w:r>
          </w:p>
        </w:tc>
      </w:tr>
      <w:tr w:rsidR="003C4E20" w:rsidRPr="003C4E20" w14:paraId="72C97C5B" w14:textId="77777777" w:rsidTr="003C4E20">
        <w:tc>
          <w:tcPr>
            <w:tcW w:w="1667" w:type="pct"/>
          </w:tcPr>
          <w:p w14:paraId="506C9A0B" w14:textId="77777777" w:rsidR="003C4E20" w:rsidRPr="003C4E20" w:rsidRDefault="003C4E20" w:rsidP="003C4E20">
            <w:pPr>
              <w:jc w:val="center"/>
              <w:rPr>
                <w:i/>
                <w:iCs/>
              </w:rPr>
            </w:pPr>
            <w:r w:rsidRPr="003C4E20">
              <w:rPr>
                <w:i/>
                <w:iCs/>
              </w:rPr>
              <w:t>Pokazatelj ishoda</w:t>
            </w:r>
          </w:p>
        </w:tc>
        <w:tc>
          <w:tcPr>
            <w:tcW w:w="1666" w:type="pct"/>
          </w:tcPr>
          <w:p w14:paraId="715E6C23" w14:textId="77777777" w:rsidR="003C4E20" w:rsidRPr="003C4E20" w:rsidRDefault="003C4E20" w:rsidP="003C4E20">
            <w:pPr>
              <w:jc w:val="center"/>
              <w:rPr>
                <w:i/>
                <w:iCs/>
              </w:rPr>
            </w:pPr>
            <w:r w:rsidRPr="003C4E20">
              <w:rPr>
                <w:i/>
                <w:iCs/>
              </w:rPr>
              <w:t>Početna vrijednost pokazatelja ishoda 2019.</w:t>
            </w:r>
          </w:p>
        </w:tc>
        <w:tc>
          <w:tcPr>
            <w:tcW w:w="1667" w:type="pct"/>
          </w:tcPr>
          <w:p w14:paraId="4E677A3E" w14:textId="77777777" w:rsidR="003C4E20" w:rsidRPr="003C4E20" w:rsidRDefault="003C4E20" w:rsidP="003C4E20">
            <w:pPr>
              <w:jc w:val="center"/>
              <w:rPr>
                <w:i/>
                <w:iCs/>
              </w:rPr>
            </w:pPr>
            <w:r w:rsidRPr="003C4E20">
              <w:rPr>
                <w:i/>
                <w:iCs/>
              </w:rPr>
              <w:t>Ciljana vrijednost pokazatelja ishoda 2027.</w:t>
            </w:r>
            <w:r w:rsidR="003553F8" w:rsidRPr="003553F8">
              <w:rPr>
                <w:i/>
                <w:iCs/>
              </w:rPr>
              <w:t>*</w:t>
            </w:r>
          </w:p>
        </w:tc>
      </w:tr>
      <w:tr w:rsidR="003C4E20" w:rsidRPr="003C4E20" w14:paraId="065D7CEE" w14:textId="77777777" w:rsidTr="003C4E20">
        <w:tc>
          <w:tcPr>
            <w:tcW w:w="1667" w:type="pct"/>
            <w:vAlign w:val="center"/>
          </w:tcPr>
          <w:p w14:paraId="36B4951D" w14:textId="77777777" w:rsidR="003C4E20" w:rsidRPr="003C4E20" w:rsidRDefault="00330AB8" w:rsidP="003C4E20">
            <w:pPr>
              <w:jc w:val="center"/>
              <w:rPr>
                <w:sz w:val="20"/>
                <w:szCs w:val="20"/>
              </w:rPr>
            </w:pPr>
            <w:r w:rsidRPr="00330AB8">
              <w:rPr>
                <w:sz w:val="20"/>
                <w:szCs w:val="20"/>
              </w:rPr>
              <w:t>OI.02.8.62</w:t>
            </w:r>
            <w:r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>Udio hotela i sličnog smještaja** u ukupnim smještajnim kapacitetima (postelje)</w:t>
            </w:r>
          </w:p>
        </w:tc>
        <w:tc>
          <w:tcPr>
            <w:tcW w:w="1666" w:type="pct"/>
            <w:vAlign w:val="center"/>
          </w:tcPr>
          <w:p w14:paraId="48C93C4C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13 %</w:t>
            </w:r>
          </w:p>
        </w:tc>
        <w:tc>
          <w:tcPr>
            <w:tcW w:w="1667" w:type="pct"/>
            <w:vAlign w:val="center"/>
          </w:tcPr>
          <w:p w14:paraId="6B1B0360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17 %</w:t>
            </w:r>
          </w:p>
        </w:tc>
      </w:tr>
      <w:tr w:rsidR="003C4E20" w:rsidRPr="003C4E20" w14:paraId="1A6F4D41" w14:textId="77777777" w:rsidTr="003C4E20">
        <w:tc>
          <w:tcPr>
            <w:tcW w:w="1667" w:type="pct"/>
            <w:vAlign w:val="center"/>
          </w:tcPr>
          <w:p w14:paraId="4B8E5E19" w14:textId="77777777" w:rsidR="003C4E20" w:rsidRPr="003C4E20" w:rsidRDefault="00330AB8" w:rsidP="003C4E20">
            <w:pPr>
              <w:jc w:val="center"/>
              <w:rPr>
                <w:sz w:val="20"/>
                <w:szCs w:val="20"/>
              </w:rPr>
            </w:pPr>
            <w:r w:rsidRPr="00330AB8">
              <w:rPr>
                <w:sz w:val="20"/>
                <w:szCs w:val="20"/>
              </w:rPr>
              <w:t>OI.02.8.63</w:t>
            </w:r>
            <w:r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>Udio hotela s četiri i pet zvjezdica u ukupnim hotelskim kapacitetima (objekti)</w:t>
            </w:r>
          </w:p>
        </w:tc>
        <w:tc>
          <w:tcPr>
            <w:tcW w:w="1666" w:type="pct"/>
            <w:vAlign w:val="center"/>
          </w:tcPr>
          <w:p w14:paraId="2FBCC24B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51 %</w:t>
            </w:r>
          </w:p>
        </w:tc>
        <w:tc>
          <w:tcPr>
            <w:tcW w:w="1667" w:type="pct"/>
            <w:vAlign w:val="center"/>
          </w:tcPr>
          <w:p w14:paraId="77768F95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65 %</w:t>
            </w:r>
          </w:p>
        </w:tc>
      </w:tr>
    </w:tbl>
    <w:p w14:paraId="3AF36F7C" w14:textId="77777777" w:rsidR="003C4E20" w:rsidRPr="003C4E20" w:rsidRDefault="003C4E20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 w:rsidRPr="003C4E20">
        <w:rPr>
          <w:rFonts w:ascii="Times New Roman" w:hAnsi="Times New Roman" w:cs="Times New Roman"/>
          <w:i/>
          <w:sz w:val="16"/>
          <w:szCs w:val="18"/>
        </w:rPr>
        <w:t>* Sukladno Nacionalnom planu razvoja održivog turizma do 2027.</w:t>
      </w:r>
    </w:p>
    <w:p w14:paraId="2808BCB8" w14:textId="55296E3D" w:rsidR="003C4E20" w:rsidRPr="003C4E20" w:rsidRDefault="003C4E20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 w:rsidRPr="003C4E20">
        <w:rPr>
          <w:rFonts w:ascii="Times New Roman" w:hAnsi="Times New Roman" w:cs="Times New Roman"/>
          <w:i/>
          <w:sz w:val="16"/>
          <w:szCs w:val="18"/>
        </w:rPr>
        <w:t xml:space="preserve">** Prema </w:t>
      </w:r>
      <w:r w:rsidR="00115E5A">
        <w:rPr>
          <w:rFonts w:ascii="Times New Roman" w:hAnsi="Times New Roman" w:cs="Times New Roman"/>
          <w:i/>
          <w:sz w:val="16"/>
          <w:szCs w:val="18"/>
        </w:rPr>
        <w:t>D</w:t>
      </w:r>
      <w:r w:rsidR="00EA0BAC">
        <w:rPr>
          <w:rFonts w:ascii="Times New Roman" w:hAnsi="Times New Roman" w:cs="Times New Roman"/>
          <w:i/>
          <w:sz w:val="16"/>
          <w:szCs w:val="18"/>
        </w:rPr>
        <w:t>Z</w:t>
      </w:r>
      <w:r w:rsidR="00115E5A">
        <w:rPr>
          <w:rFonts w:ascii="Times New Roman" w:hAnsi="Times New Roman" w:cs="Times New Roman"/>
          <w:i/>
          <w:sz w:val="16"/>
          <w:szCs w:val="18"/>
        </w:rPr>
        <w:t>S</w:t>
      </w:r>
      <w:r w:rsidRPr="003C4E20">
        <w:rPr>
          <w:rFonts w:ascii="Times New Roman" w:hAnsi="Times New Roman" w:cs="Times New Roman"/>
          <w:i/>
          <w:sz w:val="16"/>
          <w:szCs w:val="18"/>
        </w:rPr>
        <w:t xml:space="preserve"> ova skupina uključuje: hotele, hotele baštine, aparthotele, integralne hotele, difuzne hotele, lječilišne hotele, hotele posebnoga standarda, turistička naselja, turističke apartmane, pansione, lječilišne pansione.</w:t>
      </w:r>
    </w:p>
    <w:p w14:paraId="723C9C0F" w14:textId="77777777" w:rsidR="003C4E20" w:rsidRPr="003C4E20" w:rsidRDefault="003C4E20" w:rsidP="003C4E2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3"/>
        <w:gridCol w:w="6003"/>
      </w:tblGrid>
      <w:tr w:rsidR="003C4E20" w:rsidRPr="003C4E20" w14:paraId="0202E191" w14:textId="77777777" w:rsidTr="003C4E20">
        <w:tc>
          <w:tcPr>
            <w:tcW w:w="5000" w:type="pct"/>
            <w:gridSpan w:val="2"/>
            <w:shd w:val="clear" w:color="auto" w:fill="BDD6EE" w:themeFill="accent1" w:themeFillTint="66"/>
          </w:tcPr>
          <w:p w14:paraId="1A3BD4A7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76" w:name="_Toc136497286"/>
            <w:bookmarkStart w:id="77" w:name="_Toc140856036"/>
            <w:bookmarkStart w:id="78" w:name="_Toc141982434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6.1.</w:t>
            </w:r>
            <w:bookmarkEnd w:id="76"/>
            <w:bookmarkEnd w:id="77"/>
            <w:bookmarkEnd w:id="78"/>
          </w:p>
          <w:p w14:paraId="0459BF0C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79" w:name="_Toc140856037"/>
            <w:bookmarkStart w:id="80" w:name="_Toc141982435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Unaprijediti okvir za pružanje usluga u turizmu</w:t>
            </w:r>
            <w:bookmarkEnd w:id="79"/>
            <w:bookmarkEnd w:id="80"/>
          </w:p>
        </w:tc>
      </w:tr>
      <w:tr w:rsidR="00157D47" w:rsidRPr="003C4E20" w14:paraId="10049D8D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43941F9D" w14:textId="77777777" w:rsidR="00157D47" w:rsidRPr="003C4E20" w:rsidRDefault="00157D47" w:rsidP="00157D47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9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87"/>
            </w:tblGrid>
            <w:tr w:rsidR="00157D47" w:rsidRPr="00844033" w14:paraId="4BB7A825" w14:textId="77777777" w:rsidTr="000F5A77">
              <w:trPr>
                <w:trHeight w:val="954"/>
              </w:trPr>
              <w:tc>
                <w:tcPr>
                  <w:tcW w:w="0" w:type="auto"/>
                </w:tcPr>
                <w:p w14:paraId="248D9CC3" w14:textId="77777777" w:rsidR="005B143D" w:rsidRPr="00844033" w:rsidRDefault="00157D47" w:rsidP="00157D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844033">
                    <w:rPr>
                      <w:rFonts w:cstheme="minorHAnsi"/>
                      <w:color w:val="000000"/>
                      <w:sz w:val="20"/>
                      <w:szCs w:val="20"/>
                    </w:rPr>
                    <w:t>Svrha provedbe mjere je unaprijediti okvir</w:t>
                  </w:r>
                  <w:r w:rsidR="00295DF9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za pružanje usluga u turizmu. </w:t>
                  </w:r>
                </w:p>
                <w:p w14:paraId="67C39D55" w14:textId="77777777" w:rsidR="00157D47" w:rsidRDefault="00157D47" w:rsidP="00157D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84403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Unaprjeđenje sustava kategorizacije provest će se modernizacijom propisa o razvrstavanju i kategorizaciji objekata, tako da se propisani standardi za kategorizaciju smještajnih objekata usklade s trendovima na turističkomu tržištu i očekivanim razinama usluga. Temelj nove kategorizacije bit će održivost. </w:t>
                  </w:r>
                </w:p>
                <w:p w14:paraId="5677C46F" w14:textId="77777777" w:rsidR="00295DF9" w:rsidRPr="00844033" w:rsidRDefault="00295DF9" w:rsidP="00157D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FBA7AC4" w14:textId="77777777" w:rsidR="00157D47" w:rsidRPr="00844033" w:rsidRDefault="00157D47" w:rsidP="00157D4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57D47" w:rsidRPr="003C4E20" w14:paraId="2EFFB237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1C1CF6BA" w14:textId="77777777" w:rsidR="00157D47" w:rsidRPr="003C4E20" w:rsidRDefault="00157D47" w:rsidP="00157D47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9" w:type="pct"/>
          </w:tcPr>
          <w:p w14:paraId="1E320282" w14:textId="77777777" w:rsidR="0075547E" w:rsidRDefault="0075547E" w:rsidP="004537D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Broj izrađenih pravilnika:</w:t>
            </w:r>
          </w:p>
          <w:p w14:paraId="7F96ECE5" w14:textId="77777777" w:rsidR="0075547E" w:rsidRDefault="0075547E" w:rsidP="004537D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2026. </w:t>
            </w:r>
            <w:r w:rsidR="006C17A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537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352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C17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C0B0BD2" w14:textId="77777777" w:rsidR="0075547E" w:rsidRDefault="0075547E" w:rsidP="004537D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2027.</w:t>
            </w:r>
            <w:r w:rsidR="004537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17A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537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28A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6C17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D1503B" w14:textId="77777777" w:rsidR="00295DF9" w:rsidRPr="000F5A77" w:rsidRDefault="00295DF9" w:rsidP="006C17A2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D47" w:rsidRPr="003C4E20" w14:paraId="0D5B29AE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2264A619" w14:textId="77777777" w:rsidR="00157D47" w:rsidRPr="003C4E20" w:rsidRDefault="00157D47" w:rsidP="00157D47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9" w:type="pct"/>
          </w:tcPr>
          <w:p w14:paraId="0A44D6D1" w14:textId="77777777" w:rsidR="00157D47" w:rsidRPr="00844033" w:rsidRDefault="00157D47" w:rsidP="00157D4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44033">
              <w:rPr>
                <w:rFonts w:asciiTheme="minorHAnsi" w:hAnsiTheme="minorHAnsi" w:cstheme="minorHAnsi"/>
                <w:sz w:val="20"/>
                <w:szCs w:val="20"/>
              </w:rPr>
              <w:t xml:space="preserve">N/P </w:t>
            </w:r>
          </w:p>
          <w:p w14:paraId="0DF1B937" w14:textId="77777777" w:rsidR="00157D47" w:rsidRPr="00844033" w:rsidRDefault="00157D47" w:rsidP="00157D4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57D47" w:rsidRPr="003C4E20" w14:paraId="0B40DC9C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7D5AC29C" w14:textId="77777777" w:rsidR="00157D47" w:rsidRPr="003C4E20" w:rsidRDefault="00157D47" w:rsidP="00157D47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9" w:type="pct"/>
          </w:tcPr>
          <w:p w14:paraId="1DE8E90A" w14:textId="77777777" w:rsidR="00157D47" w:rsidRPr="00844033" w:rsidRDefault="008002FE" w:rsidP="008002FE">
            <w:pPr>
              <w:pStyle w:val="Default"/>
              <w:jc w:val="both"/>
            </w:pPr>
            <w:r w:rsidRPr="00844033">
              <w:rPr>
                <w:rFonts w:asciiTheme="minorHAnsi" w:hAnsiTheme="minorHAnsi" w:cstheme="minorHAnsi"/>
                <w:sz w:val="20"/>
                <w:szCs w:val="20"/>
              </w:rPr>
              <w:t xml:space="preserve">N/P </w:t>
            </w:r>
          </w:p>
        </w:tc>
      </w:tr>
      <w:tr w:rsidR="00157D47" w:rsidRPr="003C4E20" w14:paraId="266A7BB3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525BF415" w14:textId="77777777" w:rsidR="00157D47" w:rsidRPr="003C4E20" w:rsidRDefault="00157D47" w:rsidP="00157D47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9" w:type="pct"/>
          </w:tcPr>
          <w:p w14:paraId="2CAFB84D" w14:textId="77777777" w:rsidR="00157D47" w:rsidRPr="00844033" w:rsidRDefault="00157D47" w:rsidP="00157D47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4033">
              <w:rPr>
                <w:rFonts w:asciiTheme="minorHAnsi" w:hAnsiTheme="minorHAnsi" w:cstheme="minorHAnsi"/>
                <w:sz w:val="20"/>
                <w:szCs w:val="20"/>
              </w:rPr>
              <w:t xml:space="preserve">MINTS </w:t>
            </w:r>
          </w:p>
          <w:p w14:paraId="6C3E2050" w14:textId="77777777" w:rsidR="00157D47" w:rsidRPr="00844033" w:rsidRDefault="00157D47" w:rsidP="00157D4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57D47" w:rsidRPr="003C4E20" w14:paraId="58E57CFA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5E184563" w14:textId="77777777" w:rsidR="00157D47" w:rsidRPr="003C4E20" w:rsidRDefault="00157D47" w:rsidP="00157D47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9" w:type="pct"/>
          </w:tcPr>
          <w:p w14:paraId="642ACC1E" w14:textId="77777777" w:rsidR="00157D47" w:rsidRPr="00844033" w:rsidRDefault="00157D47" w:rsidP="00157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0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57D47" w:rsidRPr="003C4E20" w14:paraId="546DA1AB" w14:textId="77777777" w:rsidTr="003C4E20">
        <w:tc>
          <w:tcPr>
            <w:tcW w:w="1671" w:type="pct"/>
            <w:shd w:val="clear" w:color="auto" w:fill="DEEAF6" w:themeFill="accent1" w:themeFillTint="33"/>
          </w:tcPr>
          <w:p w14:paraId="76F87A1A" w14:textId="77777777" w:rsidR="00157D47" w:rsidRPr="003C4E20" w:rsidRDefault="00157D47" w:rsidP="00157D47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29" w:type="pct"/>
          </w:tcPr>
          <w:p w14:paraId="35713E3E" w14:textId="77777777" w:rsidR="00157D47" w:rsidRPr="000F5A77" w:rsidRDefault="00157D47" w:rsidP="00157D4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A77">
              <w:rPr>
                <w:rFonts w:cstheme="minorHAnsi"/>
                <w:sz w:val="20"/>
                <w:szCs w:val="20"/>
              </w:rPr>
              <w:t>R</w:t>
            </w:r>
          </w:p>
        </w:tc>
      </w:tr>
    </w:tbl>
    <w:p w14:paraId="0CE01276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3"/>
        <w:gridCol w:w="6003"/>
      </w:tblGrid>
      <w:tr w:rsidR="003C4E20" w:rsidRPr="003C4E20" w14:paraId="5EA638D2" w14:textId="77777777" w:rsidTr="1BBEE06B">
        <w:tc>
          <w:tcPr>
            <w:tcW w:w="5000" w:type="pct"/>
            <w:gridSpan w:val="2"/>
            <w:shd w:val="clear" w:color="auto" w:fill="BDD6EE" w:themeFill="accent1" w:themeFillTint="66"/>
          </w:tcPr>
          <w:p w14:paraId="0B30FD94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81" w:name="_Toc136497288"/>
            <w:bookmarkStart w:id="82" w:name="_Toc140856038"/>
            <w:bookmarkStart w:id="83" w:name="_Toc141982436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6.2.</w:t>
            </w:r>
            <w:bookmarkEnd w:id="81"/>
            <w:bookmarkEnd w:id="82"/>
            <w:bookmarkEnd w:id="83"/>
          </w:p>
          <w:p w14:paraId="717CDFE5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84" w:name="_Toc140856039"/>
            <w:bookmarkStart w:id="85" w:name="_Toc141982437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Poticati ulaganja u smještaj visoke kvalitete</w:t>
            </w:r>
            <w:bookmarkEnd w:id="84"/>
            <w:bookmarkEnd w:id="85"/>
          </w:p>
        </w:tc>
      </w:tr>
      <w:tr w:rsidR="005B7BA8" w:rsidRPr="003C4E20" w14:paraId="3DAE602D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29DEA808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9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87"/>
            </w:tblGrid>
            <w:tr w:rsidR="005B7BA8" w:rsidRPr="003E4D7E" w14:paraId="054A9092" w14:textId="77777777" w:rsidTr="000F5A77">
              <w:trPr>
                <w:trHeight w:val="710"/>
              </w:trPr>
              <w:tc>
                <w:tcPr>
                  <w:tcW w:w="0" w:type="auto"/>
                </w:tcPr>
                <w:p w14:paraId="5DE10948" w14:textId="77777777" w:rsidR="005B7BA8" w:rsidRDefault="005B7BA8" w:rsidP="0090094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4"/>
                    <w:jc w:val="both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3E4D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U svrhu podizanja kvalitete smještaja </w:t>
                  </w:r>
                  <w:r w:rsidR="005D4E94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i ponude </w:t>
                  </w:r>
                  <w:r w:rsidRPr="003E4D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te usmjerenja prema cjelogodišnjemu poslovanju i održivosti turizma, poticat će se</w:t>
                  </w:r>
                  <w:r w:rsidR="005D4E94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mikro, mali i srednji poduzetnici na</w:t>
                  </w:r>
                  <w:r w:rsidRPr="003E4D7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5D4E94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ulaganja u manje obiteljske hotele, aparthotele, hotele</w:t>
                  </w:r>
                  <w:r w:rsidR="005D4E94" w:rsidRPr="005D4E94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baštine, </w:t>
                  </w:r>
                  <w:r w:rsidR="005D4E94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pansione i kampove</w:t>
                  </w:r>
                  <w:r w:rsidR="0043098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="005D4E94" w:rsidRPr="005D4E94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1D2DE8D9" w14:textId="77777777" w:rsidR="00900942" w:rsidRPr="003E4D7E" w:rsidRDefault="00900942" w:rsidP="007D00F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898EC4F" w14:textId="77777777" w:rsidR="005B7BA8" w:rsidRPr="003C4E20" w:rsidRDefault="005B7BA8" w:rsidP="005B7BA8">
            <w:pPr>
              <w:jc w:val="both"/>
              <w:rPr>
                <w:sz w:val="20"/>
                <w:szCs w:val="20"/>
              </w:rPr>
            </w:pPr>
          </w:p>
        </w:tc>
      </w:tr>
      <w:tr w:rsidR="005B7BA8" w:rsidRPr="003C4E20" w14:paraId="715DE83C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65AC7124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9" w:type="pct"/>
          </w:tcPr>
          <w:p w14:paraId="237D6745" w14:textId="20FB5953" w:rsidR="005B7BA8" w:rsidRPr="00D5250D" w:rsidRDefault="005B7BA8" w:rsidP="005B7BA8">
            <w:pPr>
              <w:jc w:val="both"/>
              <w:rPr>
                <w:sz w:val="20"/>
                <w:szCs w:val="20"/>
              </w:rPr>
            </w:pPr>
            <w:r w:rsidRPr="00D5250D">
              <w:rPr>
                <w:sz w:val="20"/>
                <w:szCs w:val="20"/>
              </w:rPr>
              <w:t xml:space="preserve">Broj </w:t>
            </w:r>
            <w:r w:rsidR="00430988">
              <w:rPr>
                <w:sz w:val="20"/>
                <w:szCs w:val="20"/>
              </w:rPr>
              <w:t xml:space="preserve">otplaćenih kredita </w:t>
            </w:r>
            <w:r w:rsidR="000F47E6">
              <w:rPr>
                <w:sz w:val="20"/>
                <w:szCs w:val="20"/>
              </w:rPr>
              <w:t>kroz subvencije</w:t>
            </w:r>
            <w:r w:rsidR="005D4E94">
              <w:rPr>
                <w:sz w:val="20"/>
                <w:szCs w:val="20"/>
              </w:rPr>
              <w:t xml:space="preserve"> </w:t>
            </w:r>
            <w:r w:rsidR="00430988">
              <w:rPr>
                <w:sz w:val="20"/>
                <w:szCs w:val="20"/>
              </w:rPr>
              <w:t>kamata na kredite</w:t>
            </w:r>
            <w:r w:rsidRPr="00D5250D">
              <w:rPr>
                <w:sz w:val="20"/>
                <w:szCs w:val="20"/>
              </w:rPr>
              <w:t xml:space="preserve"> </w:t>
            </w:r>
            <w:r w:rsidR="00BB3791">
              <w:rPr>
                <w:sz w:val="20"/>
                <w:szCs w:val="20"/>
              </w:rPr>
              <w:t>za podizanje</w:t>
            </w:r>
            <w:r w:rsidR="00BB3791" w:rsidRPr="00BB3791">
              <w:rPr>
                <w:sz w:val="20"/>
                <w:szCs w:val="20"/>
              </w:rPr>
              <w:t xml:space="preserve"> kvalitete smještaja i ponude</w:t>
            </w:r>
            <w:r w:rsidR="00A3308C">
              <w:rPr>
                <w:rStyle w:val="FootnoteReference"/>
                <w:sz w:val="20"/>
                <w:szCs w:val="20"/>
              </w:rPr>
              <w:footnoteReference w:id="8"/>
            </w:r>
            <w:r w:rsidR="00BB3791" w:rsidRPr="00BB3791">
              <w:rPr>
                <w:sz w:val="20"/>
                <w:szCs w:val="20"/>
              </w:rPr>
              <w:t xml:space="preserve"> </w:t>
            </w:r>
          </w:p>
          <w:p w14:paraId="1CEF78D7" w14:textId="77777777" w:rsidR="005B7BA8" w:rsidRPr="00D5250D" w:rsidRDefault="00331ED9" w:rsidP="005B7B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</w:rPr>
              <w:t>28</w:t>
            </w:r>
          </w:p>
          <w:p w14:paraId="29FBA17B" w14:textId="77777777" w:rsidR="005B7BA8" w:rsidRPr="00D5250D" w:rsidRDefault="00331ED9" w:rsidP="005B7B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</w:rPr>
              <w:t>30</w:t>
            </w:r>
          </w:p>
          <w:p w14:paraId="356EA933" w14:textId="77777777" w:rsidR="007D00FF" w:rsidRPr="003C4E20" w:rsidRDefault="007D00FF" w:rsidP="0092048B">
            <w:pPr>
              <w:rPr>
                <w:sz w:val="20"/>
                <w:szCs w:val="20"/>
              </w:rPr>
            </w:pPr>
          </w:p>
        </w:tc>
      </w:tr>
      <w:tr w:rsidR="005B7BA8" w:rsidRPr="003C4E20" w14:paraId="0B81597D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3AA3366A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9" w:type="pct"/>
          </w:tcPr>
          <w:p w14:paraId="226B5AA6" w14:textId="77777777" w:rsidR="005B7BA8" w:rsidRPr="003C4E20" w:rsidRDefault="0092048B" w:rsidP="00094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230.000,00</w:t>
            </w:r>
            <w:r w:rsidR="009802E7">
              <w:rPr>
                <w:sz w:val="20"/>
                <w:szCs w:val="20"/>
              </w:rPr>
              <w:t xml:space="preserve"> EUR</w:t>
            </w:r>
          </w:p>
        </w:tc>
      </w:tr>
      <w:tr w:rsidR="005B7BA8" w:rsidRPr="003C4E20" w14:paraId="675EC166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7C52D950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9" w:type="pct"/>
          </w:tcPr>
          <w:p w14:paraId="1167C827" w14:textId="77777777" w:rsidR="005B7BA8" w:rsidRPr="00EE0063" w:rsidRDefault="00FA26DE" w:rsidP="005B7BA8">
            <w:pPr>
              <w:pStyle w:val="ListParagraph"/>
              <w:ind w:lef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5B7BA8" w:rsidRPr="00EE0063">
              <w:rPr>
                <w:sz w:val="20"/>
                <w:szCs w:val="20"/>
              </w:rPr>
              <w:t>587018 Programi subvencioniranja kreditnih programa u turizmu</w:t>
            </w:r>
          </w:p>
          <w:p w14:paraId="55763DD5" w14:textId="77777777" w:rsidR="005B7BA8" w:rsidRPr="00EE0063" w:rsidRDefault="007945FE" w:rsidP="005B7BA8">
            <w:pPr>
              <w:ind w:left="-1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="005B7BA8" w:rsidRPr="00EE006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5B7BA8" w:rsidRPr="00EE0063">
              <w:rPr>
                <w:sz w:val="20"/>
                <w:szCs w:val="20"/>
              </w:rPr>
              <w:t>–  150.000,00</w:t>
            </w:r>
            <w:r w:rsidR="00FA26DE">
              <w:rPr>
                <w:sz w:val="20"/>
                <w:szCs w:val="20"/>
              </w:rPr>
              <w:t xml:space="preserve"> EUR</w:t>
            </w:r>
            <w:r w:rsidR="009214E7">
              <w:rPr>
                <w:sz w:val="20"/>
                <w:szCs w:val="20"/>
              </w:rPr>
              <w:t xml:space="preserve"> (izvor11)</w:t>
            </w:r>
          </w:p>
          <w:p w14:paraId="342F0107" w14:textId="77777777" w:rsidR="005B7BA8" w:rsidRDefault="00331ED9" w:rsidP="005B7BA8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–  </w:t>
            </w:r>
            <w:r w:rsidR="005B7BA8" w:rsidRPr="00EE0063">
              <w:rPr>
                <w:sz w:val="20"/>
                <w:szCs w:val="20"/>
              </w:rPr>
              <w:t>80.000,00</w:t>
            </w:r>
            <w:r w:rsidR="00FA26DE">
              <w:rPr>
                <w:sz w:val="20"/>
                <w:szCs w:val="20"/>
              </w:rPr>
              <w:t xml:space="preserve"> EUR</w:t>
            </w:r>
            <w:r w:rsidR="009214E7">
              <w:rPr>
                <w:sz w:val="20"/>
                <w:szCs w:val="20"/>
              </w:rPr>
              <w:t xml:space="preserve"> (izvor 11)</w:t>
            </w:r>
          </w:p>
          <w:p w14:paraId="0A472B8F" w14:textId="77777777" w:rsidR="00331ED9" w:rsidRPr="003C4E20" w:rsidRDefault="00331ED9" w:rsidP="000943B4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B7BA8" w:rsidRPr="003C4E20" w14:paraId="4213385D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392E4597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9" w:type="pct"/>
          </w:tcPr>
          <w:p w14:paraId="3F307C09" w14:textId="77777777" w:rsidR="005B7BA8" w:rsidRPr="003C4E20" w:rsidRDefault="005B7BA8" w:rsidP="005B7BA8">
            <w:pPr>
              <w:jc w:val="both"/>
              <w:rPr>
                <w:sz w:val="20"/>
                <w:szCs w:val="20"/>
              </w:rPr>
            </w:pPr>
            <w:r w:rsidRPr="00A2574E">
              <w:rPr>
                <w:sz w:val="20"/>
                <w:szCs w:val="20"/>
              </w:rPr>
              <w:t>MINTS</w:t>
            </w:r>
          </w:p>
        </w:tc>
      </w:tr>
      <w:tr w:rsidR="005B7BA8" w:rsidRPr="003C4E20" w14:paraId="551B24F9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7666327B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9" w:type="pct"/>
          </w:tcPr>
          <w:p w14:paraId="49AB8BB3" w14:textId="77777777" w:rsidR="005B7BA8" w:rsidRPr="003C4E20" w:rsidRDefault="005B7BA8" w:rsidP="00362998">
            <w:pPr>
              <w:jc w:val="both"/>
              <w:rPr>
                <w:sz w:val="20"/>
                <w:szCs w:val="20"/>
              </w:rPr>
            </w:pPr>
            <w:r w:rsidRPr="00A2574E">
              <w:rPr>
                <w:sz w:val="20"/>
                <w:szCs w:val="20"/>
              </w:rPr>
              <w:t>HBOR, poslovne banke</w:t>
            </w:r>
          </w:p>
        </w:tc>
      </w:tr>
      <w:tr w:rsidR="005B7BA8" w:rsidRPr="003C4E20" w14:paraId="1A87B449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0D664139" w14:textId="77777777" w:rsidR="005B7BA8" w:rsidRPr="003C4E20" w:rsidRDefault="005B7BA8" w:rsidP="005B7BA8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29" w:type="pct"/>
          </w:tcPr>
          <w:p w14:paraId="26E0D63D" w14:textId="77777777" w:rsidR="005B7BA8" w:rsidRPr="003C4E20" w:rsidRDefault="005B7BA8" w:rsidP="005B7BA8">
            <w:pPr>
              <w:jc w:val="both"/>
              <w:rPr>
                <w:sz w:val="20"/>
                <w:szCs w:val="20"/>
              </w:rPr>
            </w:pPr>
            <w:r w:rsidRPr="00A2574E">
              <w:rPr>
                <w:sz w:val="20"/>
                <w:szCs w:val="20"/>
              </w:rPr>
              <w:t>I</w:t>
            </w:r>
          </w:p>
        </w:tc>
      </w:tr>
    </w:tbl>
    <w:p w14:paraId="631C0AFE" w14:textId="77777777" w:rsidR="003C4E20" w:rsidRDefault="003C4E20" w:rsidP="003C4E20">
      <w:pPr>
        <w:rPr>
          <w:rFonts w:ascii="Times New Roman" w:hAnsi="Times New Roman" w:cs="Times New Roman"/>
        </w:rPr>
      </w:pPr>
    </w:p>
    <w:p w14:paraId="45DE8E23" w14:textId="77777777" w:rsidR="00E277D4" w:rsidRPr="003C4E20" w:rsidRDefault="00E277D4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3C4E20" w:rsidRPr="003C4E20" w14:paraId="41F015A4" w14:textId="77777777" w:rsidTr="003C4E20">
        <w:tc>
          <w:tcPr>
            <w:tcW w:w="5000" w:type="pct"/>
            <w:gridSpan w:val="3"/>
            <w:shd w:val="clear" w:color="auto" w:fill="002060"/>
          </w:tcPr>
          <w:p w14:paraId="05FFA2B8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86" w:name="_Toc136497290"/>
            <w:bookmarkStart w:id="87" w:name="_Toc140856040"/>
            <w:bookmarkStart w:id="88" w:name="_Toc141982438"/>
            <w:r w:rsidRPr="003C4E20">
              <w:rPr>
                <w:rFonts w:eastAsiaTheme="majorEastAsia"/>
                <w:color w:val="2E74B5" w:themeColor="accent1" w:themeShade="BF"/>
                <w:sz w:val="28"/>
                <w:szCs w:val="32"/>
              </w:rPr>
              <w:t>Posebni cilj 7.</w:t>
            </w:r>
            <w:bookmarkEnd w:id="86"/>
            <w:bookmarkEnd w:id="87"/>
            <w:bookmarkEnd w:id="88"/>
          </w:p>
          <w:p w14:paraId="3B1223B1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89" w:name="_Toc140856041"/>
            <w:bookmarkStart w:id="90" w:name="_Toc141982439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>OSIGURANJE POTICAJNOG POSLOVNOG OKRUŽENJA</w:t>
            </w:r>
            <w:bookmarkEnd w:id="89"/>
            <w:bookmarkEnd w:id="90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ab/>
            </w:r>
          </w:p>
        </w:tc>
      </w:tr>
      <w:tr w:rsidR="003C4E20" w:rsidRPr="003C4E20" w14:paraId="6095DBB5" w14:textId="77777777" w:rsidTr="003C4E20">
        <w:tc>
          <w:tcPr>
            <w:tcW w:w="1666" w:type="pct"/>
            <w:shd w:val="clear" w:color="auto" w:fill="DEEAF6" w:themeFill="accent1" w:themeFillTint="33"/>
          </w:tcPr>
          <w:p w14:paraId="327B1456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ishoda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36C80654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Početna vrijednost pokazatelja ishoda 2019.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32A78B40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Ciljana vrijednost pokazatelja ishoda 2027.*</w:t>
            </w:r>
          </w:p>
        </w:tc>
      </w:tr>
      <w:tr w:rsidR="003C4E20" w:rsidRPr="003C4E20" w14:paraId="79D49DFA" w14:textId="77777777" w:rsidTr="003C4E20">
        <w:tc>
          <w:tcPr>
            <w:tcW w:w="1666" w:type="pct"/>
            <w:vAlign w:val="center"/>
          </w:tcPr>
          <w:p w14:paraId="701A9734" w14:textId="43C783EE" w:rsidR="003C4E20" w:rsidRPr="003C4E20" w:rsidRDefault="00330AB8" w:rsidP="003C4E20">
            <w:pPr>
              <w:jc w:val="center"/>
              <w:rPr>
                <w:sz w:val="20"/>
                <w:szCs w:val="20"/>
              </w:rPr>
            </w:pPr>
            <w:r w:rsidRPr="00330AB8">
              <w:rPr>
                <w:sz w:val="20"/>
                <w:szCs w:val="20"/>
              </w:rPr>
              <w:t>OI.02.8.56</w:t>
            </w:r>
            <w:r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>Indeks razvoja putovanja i turizma (TTDI-WEF) – Poslovno okruženje</w:t>
            </w:r>
            <w:r w:rsidR="0012513F">
              <w:rPr>
                <w:sz w:val="20"/>
                <w:szCs w:val="20"/>
              </w:rPr>
              <w:t>**</w:t>
            </w:r>
          </w:p>
        </w:tc>
        <w:tc>
          <w:tcPr>
            <w:tcW w:w="1667" w:type="pct"/>
            <w:vAlign w:val="center"/>
          </w:tcPr>
          <w:p w14:paraId="472787AC" w14:textId="77777777" w:rsidR="003C4E20" w:rsidRPr="003C4E20" w:rsidRDefault="00BB3791" w:rsidP="003C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667" w:type="pct"/>
            <w:vAlign w:val="center"/>
          </w:tcPr>
          <w:p w14:paraId="528CACF9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 xml:space="preserve">≤ </w:t>
            </w:r>
            <w:r w:rsidR="00BB3791">
              <w:rPr>
                <w:sz w:val="20"/>
                <w:szCs w:val="20"/>
              </w:rPr>
              <w:t>53</w:t>
            </w:r>
          </w:p>
        </w:tc>
      </w:tr>
    </w:tbl>
    <w:p w14:paraId="6CBD71A2" w14:textId="77777777" w:rsidR="003C4E20" w:rsidRDefault="003C4E20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 w:rsidRPr="003C4E20">
        <w:rPr>
          <w:rFonts w:ascii="Times New Roman" w:hAnsi="Times New Roman" w:cs="Times New Roman"/>
          <w:i/>
          <w:sz w:val="16"/>
          <w:szCs w:val="18"/>
        </w:rPr>
        <w:t>* Sukladno Nacionalnom planu razvoja održivog turizma do 2027.</w:t>
      </w:r>
    </w:p>
    <w:p w14:paraId="44CCD255" w14:textId="2FBABF89" w:rsidR="0012513F" w:rsidRPr="003C4E20" w:rsidRDefault="0012513F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 xml:space="preserve">** </w:t>
      </w:r>
      <w:r w:rsidRPr="0012513F">
        <w:rPr>
          <w:rFonts w:ascii="Times New Roman" w:hAnsi="Times New Roman" w:cs="Times New Roman"/>
          <w:i/>
          <w:sz w:val="16"/>
          <w:szCs w:val="18"/>
        </w:rPr>
        <w:t>Vrijednosti su iskazane sukladno trenutno važećoj metodologiji</w:t>
      </w:r>
      <w:r>
        <w:rPr>
          <w:rFonts w:ascii="Times New Roman" w:hAnsi="Times New Roman" w:cs="Times New Roman"/>
          <w:i/>
          <w:sz w:val="16"/>
          <w:szCs w:val="18"/>
        </w:rPr>
        <w:t xml:space="preserve"> izračuna pokazatelja</w:t>
      </w:r>
    </w:p>
    <w:p w14:paraId="3ABD50C2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5"/>
        <w:gridCol w:w="6001"/>
      </w:tblGrid>
      <w:tr w:rsidR="003C4E20" w:rsidRPr="003C4E20" w14:paraId="323D70D8" w14:textId="77777777" w:rsidTr="003C4E20">
        <w:tc>
          <w:tcPr>
            <w:tcW w:w="5000" w:type="pct"/>
            <w:gridSpan w:val="2"/>
            <w:shd w:val="clear" w:color="auto" w:fill="BDD6EE" w:themeFill="accent1" w:themeFillTint="66"/>
          </w:tcPr>
          <w:p w14:paraId="0BCFF487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91" w:name="_Toc136497292"/>
            <w:bookmarkStart w:id="92" w:name="_Toc140856042"/>
            <w:bookmarkStart w:id="93" w:name="_Toc141982440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7.1.</w:t>
            </w:r>
            <w:bookmarkEnd w:id="91"/>
            <w:bookmarkEnd w:id="92"/>
            <w:bookmarkEnd w:id="93"/>
          </w:p>
          <w:p w14:paraId="43E48E8C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94" w:name="_Toc140856043"/>
            <w:bookmarkStart w:id="95" w:name="_Toc141982441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Smanjiti administrativno opterećenje dionika u turizmu</w:t>
            </w:r>
            <w:bookmarkEnd w:id="94"/>
            <w:bookmarkEnd w:id="95"/>
          </w:p>
        </w:tc>
      </w:tr>
      <w:tr w:rsidR="00587E72" w:rsidRPr="003C4E20" w14:paraId="71CE4BF6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7A1EDC17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8" w:type="pct"/>
          </w:tcPr>
          <w:p w14:paraId="0CEE6574" w14:textId="77777777" w:rsidR="00587E72" w:rsidRDefault="00587E72" w:rsidP="000F47E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Svrha mjere je dodatno smanjiti administrativno opterećenje dionika u turizmu. Aktivnosti koje se provod</w:t>
            </w:r>
            <w:r w:rsidR="000F47E6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su projekti razvoja naprednih e-usluga koje će omogućiti lakšu komunikaciju dionika u turizmu s javnom upravom, a time i smanjenje vremena potrebnoga za administraciju, što će posljedično dovesti do smanjenih troškova poslovanja i veće konkurentnosti. </w:t>
            </w:r>
          </w:p>
          <w:p w14:paraId="30B6D9CD" w14:textId="77777777" w:rsidR="003A110D" w:rsidRPr="003C4E20" w:rsidRDefault="003A110D" w:rsidP="000F47E6">
            <w:pPr>
              <w:jc w:val="both"/>
              <w:rPr>
                <w:sz w:val="20"/>
                <w:szCs w:val="20"/>
              </w:rPr>
            </w:pPr>
          </w:p>
        </w:tc>
      </w:tr>
      <w:tr w:rsidR="00587E72" w:rsidRPr="003C4E20" w14:paraId="7387150D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124508F1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8" w:type="pct"/>
          </w:tcPr>
          <w:p w14:paraId="7D74C0AA" w14:textId="77777777" w:rsidR="003A110D" w:rsidRDefault="003A110D" w:rsidP="003A110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587E72">
              <w:rPr>
                <w:rFonts w:cs="Calibri"/>
                <w:color w:val="000000"/>
                <w:sz w:val="20"/>
                <w:szCs w:val="20"/>
              </w:rPr>
              <w:t>Nadograđen IT alat za upravne i neupravne postupke:</w:t>
            </w:r>
          </w:p>
          <w:p w14:paraId="03104607" w14:textId="77777777" w:rsidR="003A110D" w:rsidRPr="003A110D" w:rsidRDefault="003A110D" w:rsidP="003A110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A110D">
              <w:rPr>
                <w:rFonts w:cs="Calibri"/>
                <w:color w:val="000000"/>
                <w:sz w:val="20"/>
                <w:szCs w:val="20"/>
              </w:rPr>
              <w:t>2026. – 1</w:t>
            </w:r>
          </w:p>
          <w:p w14:paraId="225B2F38" w14:textId="77777777" w:rsidR="003A110D" w:rsidRPr="00587E72" w:rsidRDefault="003A110D" w:rsidP="003A110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A110D">
              <w:rPr>
                <w:rFonts w:cs="Calibri"/>
                <w:color w:val="000000"/>
                <w:sz w:val="20"/>
                <w:szCs w:val="20"/>
              </w:rPr>
              <w:t>2027. – 0</w:t>
            </w:r>
          </w:p>
          <w:p w14:paraId="1F2F456C" w14:textId="77777777" w:rsidR="00587E72" w:rsidRPr="003C4E20" w:rsidRDefault="00587E72" w:rsidP="00587E72">
            <w:pPr>
              <w:ind w:left="448" w:hanging="142"/>
              <w:rPr>
                <w:sz w:val="20"/>
                <w:szCs w:val="20"/>
              </w:rPr>
            </w:pPr>
          </w:p>
        </w:tc>
      </w:tr>
      <w:tr w:rsidR="00587E72" w:rsidRPr="003C4E20" w14:paraId="28E27842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203F853E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8" w:type="pct"/>
          </w:tcPr>
          <w:p w14:paraId="3FE75631" w14:textId="77777777" w:rsidR="00587E72" w:rsidRPr="003C4E20" w:rsidRDefault="003A110D" w:rsidP="00587E72">
            <w:pPr>
              <w:jc w:val="both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962.500,00 EUR</w:t>
            </w:r>
          </w:p>
        </w:tc>
      </w:tr>
      <w:tr w:rsidR="00587E72" w:rsidRPr="003C4E20" w14:paraId="3DC1126D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132C4961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8" w:type="pct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785"/>
            </w:tblGrid>
            <w:tr w:rsidR="00587E72" w14:paraId="6301A004" w14:textId="77777777">
              <w:trPr>
                <w:trHeight w:val="95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7DA11" w14:textId="77777777" w:rsidR="00535A2C" w:rsidRPr="00535A2C" w:rsidRDefault="00535A2C" w:rsidP="003A110D">
                  <w:pPr>
                    <w:pStyle w:val="Default"/>
                    <w:spacing w:line="256" w:lineRule="auto"/>
                    <w:ind w:left="-104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5A2C">
                    <w:rPr>
                      <w:rFonts w:ascii="Calibri" w:hAnsi="Calibri" w:cs="Calibri"/>
                      <w:sz w:val="20"/>
                      <w:szCs w:val="20"/>
                    </w:rPr>
                    <w:t>A916035 Razvoj održivog, inovativnog i otpornog turizma</w:t>
                  </w:r>
                </w:p>
                <w:p w14:paraId="3945911F" w14:textId="77777777" w:rsidR="00535A2C" w:rsidRPr="00535A2C" w:rsidRDefault="00535A2C" w:rsidP="003A110D">
                  <w:pPr>
                    <w:pStyle w:val="Default"/>
                    <w:spacing w:line="256" w:lineRule="auto"/>
                    <w:ind w:left="-104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5A2C">
                    <w:rPr>
                      <w:rFonts w:ascii="Calibri" w:hAnsi="Calibri" w:cs="Calibri"/>
                      <w:sz w:val="20"/>
                      <w:szCs w:val="20"/>
                    </w:rPr>
                    <w:t xml:space="preserve">- NPOO 2.3. C2.3.R3-I15 Uspostava aplikativnih rješenja u turizmu s ciljem administrativnoga rasterećenja poduzetnika te transformacije modela turizma ka održivosti </w:t>
                  </w:r>
                </w:p>
                <w:p w14:paraId="3CDD2F06" w14:textId="050DECD2" w:rsidR="00535A2C" w:rsidRPr="00535A2C" w:rsidRDefault="00535A2C" w:rsidP="003A110D">
                  <w:pPr>
                    <w:pStyle w:val="Default"/>
                    <w:spacing w:line="256" w:lineRule="auto"/>
                    <w:ind w:left="-104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A73B1">
                    <w:rPr>
                      <w:rFonts w:ascii="Calibri" w:hAnsi="Calibri" w:cs="Calibri"/>
                      <w:sz w:val="20"/>
                      <w:szCs w:val="20"/>
                    </w:rPr>
                    <w:t xml:space="preserve">2026. </w:t>
                  </w:r>
                  <w:r w:rsidR="00DA73B1" w:rsidRPr="00DA73B1">
                    <w:rPr>
                      <w:rFonts w:ascii="Calibri" w:hAnsi="Calibri" w:cs="Calibri"/>
                      <w:sz w:val="20"/>
                      <w:szCs w:val="20"/>
                    </w:rPr>
                    <w:t>–</w:t>
                  </w:r>
                  <w:r w:rsidR="00DA73B1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9A1826">
                    <w:rPr>
                      <w:rFonts w:ascii="Calibri" w:hAnsi="Calibri" w:cs="Calibri"/>
                      <w:sz w:val="20"/>
                      <w:szCs w:val="20"/>
                    </w:rPr>
                    <w:t>962.500,00</w:t>
                  </w:r>
                  <w:r w:rsidR="00DA73B1">
                    <w:rPr>
                      <w:rFonts w:ascii="Calibri" w:hAnsi="Calibri" w:cs="Calibri"/>
                      <w:sz w:val="20"/>
                      <w:szCs w:val="20"/>
                    </w:rPr>
                    <w:t xml:space="preserve"> EUR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9214E7">
                    <w:rPr>
                      <w:rFonts w:ascii="Calibri" w:hAnsi="Calibri" w:cs="Calibri"/>
                      <w:sz w:val="20"/>
                      <w:szCs w:val="20"/>
                    </w:rPr>
                    <w:t>(izvor 581)</w:t>
                  </w:r>
                  <w:r w:rsidRPr="00535A2C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</w:p>
                <w:p w14:paraId="0C61CE14" w14:textId="77777777" w:rsidR="00535A2C" w:rsidRPr="00535A2C" w:rsidRDefault="00535A2C" w:rsidP="003A110D">
                  <w:pPr>
                    <w:pStyle w:val="Default"/>
                    <w:spacing w:line="256" w:lineRule="auto"/>
                    <w:ind w:left="-104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35A2C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027</w:t>
                  </w:r>
                  <w:r w:rsidRPr="00535A2C">
                    <w:rPr>
                      <w:rFonts w:ascii="Calibri" w:hAnsi="Calibri" w:cs="Calibri"/>
                      <w:sz w:val="20"/>
                      <w:szCs w:val="20"/>
                    </w:rPr>
                    <w:t xml:space="preserve">. </w:t>
                  </w:r>
                  <w:r w:rsidR="007945FE" w:rsidRPr="00331A0F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>–</w:t>
                  </w:r>
                  <w:r w:rsidR="007945FE">
                    <w:rPr>
                      <w:rFonts w:eastAsia="Times New Roman" w:cs="Calibri"/>
                      <w:sz w:val="20"/>
                      <w:szCs w:val="20"/>
                      <w:lang w:eastAsia="hr-HR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  <w:r w:rsidRPr="00535A2C">
                    <w:rPr>
                      <w:rFonts w:ascii="Calibri" w:hAnsi="Calibri" w:cs="Calibri"/>
                      <w:sz w:val="20"/>
                      <w:szCs w:val="20"/>
                    </w:rPr>
                    <w:tab/>
                  </w:r>
                </w:p>
                <w:p w14:paraId="1F2B8107" w14:textId="77777777" w:rsidR="00587E72" w:rsidRDefault="00587E72" w:rsidP="00535A2C">
                  <w:pPr>
                    <w:pStyle w:val="Default"/>
                    <w:spacing w:line="256" w:lineRule="auto"/>
                    <w:jc w:val="both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</w:tbl>
          <w:p w14:paraId="50649551" w14:textId="77777777" w:rsidR="00587E72" w:rsidRPr="003C4E20" w:rsidRDefault="00587E72" w:rsidP="00587E72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87E72" w:rsidRPr="003C4E20" w14:paraId="038A72E5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32ECBCCF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8" w:type="pct"/>
          </w:tcPr>
          <w:p w14:paraId="3F14298A" w14:textId="77777777" w:rsidR="00587E72" w:rsidRPr="003C4E20" w:rsidRDefault="00320B7F" w:rsidP="00587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MINTS</w:t>
            </w:r>
          </w:p>
        </w:tc>
      </w:tr>
      <w:tr w:rsidR="00587E72" w:rsidRPr="003C4E20" w14:paraId="0ECBA47C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716673E9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8" w:type="pct"/>
          </w:tcPr>
          <w:p w14:paraId="02799EBF" w14:textId="77777777" w:rsidR="00587E72" w:rsidRPr="003C4E20" w:rsidRDefault="00587E72" w:rsidP="00587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587E72" w:rsidRPr="003C4E20" w14:paraId="0518C111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3571EB23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28" w:type="pct"/>
          </w:tcPr>
          <w:p w14:paraId="6E567022" w14:textId="77777777" w:rsidR="00587E72" w:rsidRPr="003C4E20" w:rsidRDefault="00587E72" w:rsidP="00587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</w:tbl>
    <w:p w14:paraId="21B34E44" w14:textId="77777777" w:rsidR="003C4E20" w:rsidRPr="003C4E20" w:rsidRDefault="003C4E20" w:rsidP="003C4E20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5"/>
        <w:gridCol w:w="6001"/>
      </w:tblGrid>
      <w:tr w:rsidR="003C4E20" w:rsidRPr="003C4E20" w14:paraId="57795C01" w14:textId="77777777" w:rsidTr="003C4E20">
        <w:tc>
          <w:tcPr>
            <w:tcW w:w="5000" w:type="pct"/>
            <w:gridSpan w:val="2"/>
            <w:shd w:val="clear" w:color="auto" w:fill="BDD6EE" w:themeFill="accent1" w:themeFillTint="66"/>
          </w:tcPr>
          <w:p w14:paraId="76CE5D2B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96" w:name="_Toc136497294"/>
            <w:bookmarkStart w:id="97" w:name="_Toc140856044"/>
            <w:bookmarkStart w:id="98" w:name="_Toc141982442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7.2.</w:t>
            </w:r>
            <w:bookmarkEnd w:id="96"/>
            <w:bookmarkEnd w:id="97"/>
            <w:bookmarkEnd w:id="98"/>
          </w:p>
          <w:p w14:paraId="65D92BFC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99" w:name="_Toc140856045"/>
            <w:bookmarkStart w:id="100" w:name="_Toc141982443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Stvoriti učinkoviti okvir s ciljem unaprijeđena poslovnoga okruženja</w:t>
            </w:r>
            <w:bookmarkEnd w:id="99"/>
            <w:bookmarkEnd w:id="100"/>
          </w:p>
        </w:tc>
      </w:tr>
      <w:tr w:rsidR="003C4E20" w:rsidRPr="003C4E20" w14:paraId="449D763D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65CB7D0F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8" w:type="pct"/>
          </w:tcPr>
          <w:p w14:paraId="4A899B77" w14:textId="4E7A3A97" w:rsidR="003C4E20" w:rsidRDefault="004D2C19" w:rsidP="003C4E20">
            <w:pPr>
              <w:jc w:val="both"/>
              <w:rPr>
                <w:sz w:val="20"/>
                <w:szCs w:val="20"/>
              </w:rPr>
            </w:pPr>
            <w:r w:rsidRPr="004D2C19">
              <w:rPr>
                <w:sz w:val="20"/>
                <w:szCs w:val="20"/>
              </w:rPr>
              <w:t xml:space="preserve">Izrađen je sektorski program poticaja (Uredba o poticanju ulaganja u sektoru turizma, </w:t>
            </w:r>
            <w:r w:rsidR="008748D7">
              <w:rPr>
                <w:sz w:val="20"/>
                <w:szCs w:val="20"/>
              </w:rPr>
              <w:t>„Narodne novine“, broj</w:t>
            </w:r>
            <w:r w:rsidR="008748D7" w:rsidRPr="004D2C19">
              <w:rPr>
                <w:sz w:val="20"/>
                <w:szCs w:val="20"/>
              </w:rPr>
              <w:t xml:space="preserve"> </w:t>
            </w:r>
            <w:r w:rsidRPr="004D2C19">
              <w:rPr>
                <w:sz w:val="20"/>
                <w:szCs w:val="20"/>
              </w:rPr>
              <w:t>39/24</w:t>
            </w:r>
            <w:r w:rsidR="008748D7">
              <w:rPr>
                <w:sz w:val="20"/>
                <w:szCs w:val="20"/>
              </w:rPr>
              <w:t>.</w:t>
            </w:r>
            <w:r w:rsidRPr="004D2C19">
              <w:rPr>
                <w:sz w:val="20"/>
                <w:szCs w:val="20"/>
              </w:rPr>
              <w:t>) temeljem kojega se potiču investicijski projekti u tu</w:t>
            </w:r>
            <w:r>
              <w:rPr>
                <w:sz w:val="20"/>
                <w:szCs w:val="20"/>
              </w:rPr>
              <w:t>rizmu visoke dodane vrijednosti</w:t>
            </w:r>
            <w:r w:rsidR="004537D0">
              <w:rPr>
                <w:sz w:val="20"/>
                <w:szCs w:val="20"/>
              </w:rPr>
              <w:t>. P</w:t>
            </w:r>
            <w:r w:rsidR="00BA4F2E" w:rsidRPr="00BA4F2E">
              <w:rPr>
                <w:sz w:val="20"/>
                <w:szCs w:val="20"/>
              </w:rPr>
              <w:t>rovodit</w:t>
            </w:r>
            <w:r w:rsidR="004537D0">
              <w:rPr>
                <w:sz w:val="20"/>
                <w:szCs w:val="20"/>
              </w:rPr>
              <w:t xml:space="preserve"> će se</w:t>
            </w:r>
            <w:r w:rsidR="00BA4F2E" w:rsidRPr="00BA4F2E">
              <w:rPr>
                <w:sz w:val="20"/>
                <w:szCs w:val="20"/>
              </w:rPr>
              <w:t xml:space="preserve"> mjere u svrhu poticanja ravnomjernog cjelogodišnjeg i regionalno odnosno prostorno uravnoteženijeg razvoja turizma koji uključuje i razvoj posebnih oblika turizma, društveno i okolišno održivi razvoj turizma kojemu je cilj smanjivanje negativnog utjecaja turizma na okoliš, klimu i prostor, razvoj konkurentnog i inovativnog turizma, uključujući jačanje ljudskih potencijala, povećanje kvalitete smještajnih i ostalih kapaciteta u okviru turističke ponude, kao i diverzifikacija cjelokupne turističke ponude, i kroz aktivaciju neaktivne državne imovine, digitalna transformacija turizma te povećanje otpornosti djelatnosti u turizmu na vanjske utjecaje.</w:t>
            </w:r>
          </w:p>
          <w:p w14:paraId="1C1DF71B" w14:textId="77777777" w:rsidR="008C3579" w:rsidRPr="003C4E20" w:rsidRDefault="008C3579" w:rsidP="008C3579">
            <w:pPr>
              <w:jc w:val="both"/>
              <w:rPr>
                <w:sz w:val="20"/>
                <w:szCs w:val="20"/>
              </w:rPr>
            </w:pPr>
          </w:p>
        </w:tc>
      </w:tr>
      <w:tr w:rsidR="003C4E20" w:rsidRPr="003C4E20" w14:paraId="101BC109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67CDDB2C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2912A3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8" w:type="pct"/>
          </w:tcPr>
          <w:p w14:paraId="5F5E1F18" w14:textId="77777777" w:rsidR="008C3579" w:rsidRPr="003A110D" w:rsidRDefault="008C3579" w:rsidP="003A110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A110D">
              <w:rPr>
                <w:rFonts w:cs="Calibri"/>
                <w:color w:val="000000"/>
                <w:sz w:val="20"/>
                <w:szCs w:val="20"/>
              </w:rPr>
              <w:t xml:space="preserve">Broj prijavljenih projekata </w:t>
            </w:r>
          </w:p>
          <w:p w14:paraId="38DBBC14" w14:textId="77777777" w:rsidR="008C3579" w:rsidRPr="003A110D" w:rsidRDefault="008C3579" w:rsidP="003A110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A110D">
              <w:rPr>
                <w:rFonts w:cs="Calibri"/>
                <w:color w:val="000000"/>
                <w:sz w:val="20"/>
                <w:szCs w:val="20"/>
              </w:rPr>
              <w:t>2026. – 5</w:t>
            </w:r>
          </w:p>
          <w:p w14:paraId="60CB155E" w14:textId="77777777" w:rsidR="008C3579" w:rsidRPr="003A110D" w:rsidRDefault="008C3579" w:rsidP="003A110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A110D">
              <w:rPr>
                <w:rFonts w:cs="Calibri"/>
                <w:color w:val="000000"/>
                <w:sz w:val="20"/>
                <w:szCs w:val="20"/>
              </w:rPr>
              <w:t>2027. – 5</w:t>
            </w:r>
          </w:p>
          <w:p w14:paraId="69FFA9A3" w14:textId="77777777" w:rsidR="008C3579" w:rsidRPr="003C4E20" w:rsidRDefault="008C3579" w:rsidP="009C1BAE">
            <w:pPr>
              <w:rPr>
                <w:sz w:val="20"/>
                <w:szCs w:val="20"/>
              </w:rPr>
            </w:pPr>
          </w:p>
        </w:tc>
      </w:tr>
      <w:tr w:rsidR="003C4E20" w:rsidRPr="003C4E20" w14:paraId="582440A6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13C9428D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8" w:type="pct"/>
          </w:tcPr>
          <w:p w14:paraId="2B0ACB41" w14:textId="77777777" w:rsidR="003C4E20" w:rsidRPr="003C4E20" w:rsidRDefault="009C1BAE" w:rsidP="003C4E20">
            <w:pPr>
              <w:jc w:val="both"/>
              <w:rPr>
                <w:sz w:val="20"/>
                <w:szCs w:val="20"/>
              </w:rPr>
            </w:pPr>
            <w:r w:rsidRPr="009C1BAE">
              <w:rPr>
                <w:sz w:val="20"/>
                <w:szCs w:val="20"/>
              </w:rPr>
              <w:t>N/P</w:t>
            </w:r>
          </w:p>
        </w:tc>
      </w:tr>
      <w:tr w:rsidR="003C4E20" w:rsidRPr="003C4E20" w14:paraId="644A60DC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01D0F773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8" w:type="pct"/>
          </w:tcPr>
          <w:p w14:paraId="48B1B3C5" w14:textId="77777777" w:rsidR="003C4E20" w:rsidRPr="003C4E20" w:rsidRDefault="009C1BAE" w:rsidP="009C1BAE">
            <w:pPr>
              <w:contextualSpacing/>
              <w:jc w:val="both"/>
              <w:rPr>
                <w:sz w:val="20"/>
                <w:szCs w:val="20"/>
              </w:rPr>
            </w:pPr>
            <w:r w:rsidRPr="009C1BAE">
              <w:rPr>
                <w:sz w:val="20"/>
                <w:szCs w:val="20"/>
              </w:rPr>
              <w:t>Sredstva za provedbu ove mjere planirana su u obliku poreznih olakšica i oslobađanja plaćanja naknada za raspolaganje imovinom u vlasništvu Republike Hrvatske i JLP(R)S (cca 100.000.000 EUR) i temeljem Programa poticanja investicija u turizmu</w:t>
            </w:r>
            <w:r>
              <w:rPr>
                <w:sz w:val="20"/>
                <w:szCs w:val="20"/>
              </w:rPr>
              <w:t>.</w:t>
            </w:r>
          </w:p>
        </w:tc>
      </w:tr>
      <w:tr w:rsidR="003C4E20" w:rsidRPr="003C4E20" w14:paraId="7DBC490F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1472D607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8" w:type="pct"/>
          </w:tcPr>
          <w:p w14:paraId="148998EC" w14:textId="77777777" w:rsidR="003C4E20" w:rsidRPr="003C4E20" w:rsidRDefault="009C1BAE" w:rsidP="003C4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MINTS</w:t>
            </w:r>
          </w:p>
        </w:tc>
      </w:tr>
      <w:tr w:rsidR="003C4E20" w:rsidRPr="003C4E20" w14:paraId="3CF63940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3B4BAE8C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8" w:type="pct"/>
          </w:tcPr>
          <w:p w14:paraId="6174127D" w14:textId="77777777" w:rsidR="003C4E20" w:rsidRPr="003C4E20" w:rsidRDefault="009C1BAE" w:rsidP="003C4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MFIN</w:t>
            </w:r>
            <w:r w:rsidR="00A3308C">
              <w:rPr>
                <w:sz w:val="20"/>
                <w:szCs w:val="20"/>
              </w:rPr>
              <w:t xml:space="preserve">, </w:t>
            </w:r>
            <w:r w:rsidR="00A3308C" w:rsidRPr="00FD3C04">
              <w:rPr>
                <w:sz w:val="20"/>
                <w:szCs w:val="20"/>
              </w:rPr>
              <w:t>MPGI</w:t>
            </w:r>
          </w:p>
        </w:tc>
      </w:tr>
      <w:tr w:rsidR="003C4E20" w:rsidRPr="003C4E20" w14:paraId="09968E37" w14:textId="77777777" w:rsidTr="003C4E20">
        <w:tc>
          <w:tcPr>
            <w:tcW w:w="1672" w:type="pct"/>
            <w:shd w:val="clear" w:color="auto" w:fill="DEEAF6" w:themeFill="accent1" w:themeFillTint="33"/>
          </w:tcPr>
          <w:p w14:paraId="4CFF1F0C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28" w:type="pct"/>
          </w:tcPr>
          <w:p w14:paraId="7256DE2E" w14:textId="77777777" w:rsidR="003C4E20" w:rsidRPr="003C4E20" w:rsidRDefault="009C1BAE" w:rsidP="003C4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</w:tbl>
    <w:p w14:paraId="6FDA7F10" w14:textId="77777777" w:rsidR="00AB000E" w:rsidRPr="003C4E20" w:rsidRDefault="00AB000E" w:rsidP="003C4E20">
      <w:pPr>
        <w:tabs>
          <w:tab w:val="left" w:pos="1110"/>
        </w:tabs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38"/>
        <w:gridCol w:w="2859"/>
        <w:gridCol w:w="2999"/>
      </w:tblGrid>
      <w:tr w:rsidR="003C4E20" w:rsidRPr="003C4E20" w14:paraId="6F56F1EA" w14:textId="77777777" w:rsidTr="003C4E20">
        <w:tc>
          <w:tcPr>
            <w:tcW w:w="5000" w:type="pct"/>
            <w:gridSpan w:val="3"/>
            <w:shd w:val="clear" w:color="auto" w:fill="002060"/>
          </w:tcPr>
          <w:p w14:paraId="2C4973A9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101" w:name="_Toc136497296"/>
            <w:bookmarkStart w:id="102" w:name="_Toc140856046"/>
            <w:bookmarkStart w:id="103" w:name="_Toc141982444"/>
            <w:r w:rsidRPr="003C4E20">
              <w:rPr>
                <w:rFonts w:eastAsiaTheme="majorEastAsia"/>
                <w:color w:val="2E74B5" w:themeColor="accent1" w:themeShade="BF"/>
                <w:sz w:val="28"/>
                <w:szCs w:val="32"/>
              </w:rPr>
              <w:t>Posebni cilj 8.</w:t>
            </w:r>
            <w:bookmarkEnd w:id="101"/>
            <w:bookmarkEnd w:id="102"/>
            <w:bookmarkEnd w:id="103"/>
          </w:p>
          <w:p w14:paraId="18E6F523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104" w:name="_Toc140856047"/>
            <w:bookmarkStart w:id="105" w:name="_Toc141982445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>RAZVOJ INOVACIJA I DIGITALNE TRANSFORMACIJE TURIZMA</w:t>
            </w:r>
            <w:bookmarkEnd w:id="104"/>
            <w:bookmarkEnd w:id="105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ab/>
            </w:r>
          </w:p>
        </w:tc>
      </w:tr>
      <w:tr w:rsidR="003C4E20" w:rsidRPr="003C4E20" w14:paraId="16648D31" w14:textId="77777777" w:rsidTr="003C4E20">
        <w:tc>
          <w:tcPr>
            <w:tcW w:w="1744" w:type="pct"/>
            <w:shd w:val="clear" w:color="auto" w:fill="DEEAF6" w:themeFill="accent1" w:themeFillTint="33"/>
          </w:tcPr>
          <w:p w14:paraId="758B92AB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ishoda</w:t>
            </w:r>
          </w:p>
        </w:tc>
        <w:tc>
          <w:tcPr>
            <w:tcW w:w="1589" w:type="pct"/>
            <w:shd w:val="clear" w:color="auto" w:fill="DEEAF6" w:themeFill="accent1" w:themeFillTint="33"/>
          </w:tcPr>
          <w:p w14:paraId="0686A349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Početna vrijednost pokazatelja ishoda 2019.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7632D00E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Ciljana vrijednost pokazatelja ishoda 2027.*</w:t>
            </w:r>
          </w:p>
        </w:tc>
      </w:tr>
      <w:tr w:rsidR="003C4E20" w:rsidRPr="003C4E20" w14:paraId="7143CED0" w14:textId="77777777" w:rsidTr="003C4E20">
        <w:tc>
          <w:tcPr>
            <w:tcW w:w="1744" w:type="pct"/>
            <w:vAlign w:val="center"/>
          </w:tcPr>
          <w:p w14:paraId="2A895E0E" w14:textId="77777777" w:rsidR="003C4E20" w:rsidRPr="003C4E20" w:rsidRDefault="00330AB8" w:rsidP="003C4E20">
            <w:pPr>
              <w:jc w:val="center"/>
              <w:rPr>
                <w:sz w:val="20"/>
                <w:szCs w:val="20"/>
              </w:rPr>
            </w:pPr>
            <w:r w:rsidRPr="00330AB8">
              <w:rPr>
                <w:sz w:val="20"/>
                <w:szCs w:val="20"/>
              </w:rPr>
              <w:t>OI.02.8.57</w:t>
            </w:r>
            <w:r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>Indeks razvoja putovanja i turizma (TTDI-WEF) – ICT readiness</w:t>
            </w:r>
          </w:p>
        </w:tc>
        <w:tc>
          <w:tcPr>
            <w:tcW w:w="1589" w:type="pct"/>
            <w:vAlign w:val="center"/>
          </w:tcPr>
          <w:p w14:paraId="72E9FCF9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5,3</w:t>
            </w:r>
          </w:p>
        </w:tc>
        <w:tc>
          <w:tcPr>
            <w:tcW w:w="1667" w:type="pct"/>
            <w:vAlign w:val="center"/>
          </w:tcPr>
          <w:p w14:paraId="159ADE03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5,7</w:t>
            </w:r>
          </w:p>
        </w:tc>
      </w:tr>
    </w:tbl>
    <w:p w14:paraId="5161E478" w14:textId="77777777" w:rsidR="003C4E20" w:rsidRPr="003C4E20" w:rsidRDefault="003C4E20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 w:rsidRPr="003C4E20">
        <w:rPr>
          <w:rFonts w:ascii="Times New Roman" w:hAnsi="Times New Roman" w:cs="Times New Roman"/>
          <w:i/>
          <w:sz w:val="16"/>
          <w:szCs w:val="18"/>
        </w:rPr>
        <w:t>* Sukladno Nacionalnom planu razvoja održivog turizma do 2027.</w:t>
      </w:r>
    </w:p>
    <w:p w14:paraId="3386A071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1"/>
        <w:gridCol w:w="6005"/>
      </w:tblGrid>
      <w:tr w:rsidR="003C4E20" w:rsidRPr="003C4E20" w14:paraId="5AE4AA6F" w14:textId="77777777" w:rsidTr="1BBEE06B">
        <w:tc>
          <w:tcPr>
            <w:tcW w:w="5000" w:type="pct"/>
            <w:gridSpan w:val="2"/>
            <w:shd w:val="clear" w:color="auto" w:fill="BDD6EE" w:themeFill="accent1" w:themeFillTint="66"/>
          </w:tcPr>
          <w:p w14:paraId="4EC5E884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06" w:name="_Toc136497298"/>
            <w:bookmarkStart w:id="107" w:name="_Toc140856048"/>
            <w:bookmarkStart w:id="108" w:name="_Toc141982446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8.1.</w:t>
            </w:r>
            <w:bookmarkEnd w:id="106"/>
            <w:bookmarkEnd w:id="107"/>
            <w:bookmarkEnd w:id="108"/>
          </w:p>
          <w:p w14:paraId="1975E526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09" w:name="_Toc140856049"/>
            <w:bookmarkStart w:id="110" w:name="_Toc141982447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Poticati inovacije</w:t>
            </w:r>
            <w:bookmarkEnd w:id="109"/>
            <w:bookmarkEnd w:id="110"/>
          </w:p>
        </w:tc>
      </w:tr>
      <w:tr w:rsidR="0094432D" w:rsidRPr="003C4E20" w14:paraId="716C45BC" w14:textId="77777777" w:rsidTr="1BBEE06B">
        <w:tc>
          <w:tcPr>
            <w:tcW w:w="1670" w:type="pct"/>
            <w:shd w:val="clear" w:color="auto" w:fill="DEEAF6" w:themeFill="accent1" w:themeFillTint="33"/>
          </w:tcPr>
          <w:p w14:paraId="116B570B" w14:textId="77777777" w:rsidR="0094432D" w:rsidRPr="003C4E20" w:rsidRDefault="0094432D" w:rsidP="0094432D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30" w:type="pct"/>
          </w:tcPr>
          <w:p w14:paraId="5DF6F7FE" w14:textId="77777777" w:rsidR="0094432D" w:rsidRPr="00704C08" w:rsidRDefault="0094432D" w:rsidP="0094432D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704C08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Svrha mjere je potaknuti razvoj novih i inovativnih rješenja koja će osigurati smanjenje negativnih utjecaja turizma, smanjiti sezonalnost i potaknuti konkurentnost poduzetnika u turizmu. Mjerom se poti</w:t>
            </w:r>
            <w:r w:rsidR="000F47E6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ču</w:t>
            </w:r>
            <w:r w:rsidRPr="00704C08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ulaganja u inovacije i digitalne tehnologije koje će povećati otpornost i produktivnost poduzeća (malih, srednjih i velikih) kao i bolje pozicioniranje na turističkomu tržištu. Ulaganja </w:t>
            </w:r>
            <w:r w:rsidR="000F47E6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su</w:t>
            </w:r>
            <w:r w:rsidRPr="00704C08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usmjerena u aktivnosti istraživanja i inovacija s ciljem povezivanja dionika u lancu vrijednosti turizma, zelene tranzicije i razvoja održivoga i cjelogodišnjega poslovanja, ublažavanja i prilagodbe klimatskim promjenama i razvoju raznovrsne ponude i sadržaja visoke dodane vrijednosti. Podupir</w:t>
            </w:r>
            <w:r w:rsidR="000F47E6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u</w:t>
            </w:r>
            <w:r w:rsidRPr="00704C08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se inovacije u sklopu unaprjeđenja procesa prihvatljivih za okoliš i učinkovitost resursa, ulaganja za prijelaz na kružno gospodarstvo, sprječavanje i suzbijanje onečišćenja okoliša te zaštitu i obnovu biološke raznolikosti i ekosustava. </w:t>
            </w:r>
          </w:p>
          <w:p w14:paraId="6694B18C" w14:textId="77777777" w:rsidR="0094432D" w:rsidRPr="003C4E20" w:rsidRDefault="0094432D" w:rsidP="0094432D">
            <w:pPr>
              <w:jc w:val="both"/>
              <w:rPr>
                <w:sz w:val="20"/>
                <w:szCs w:val="20"/>
              </w:rPr>
            </w:pPr>
          </w:p>
        </w:tc>
      </w:tr>
      <w:tr w:rsidR="0094432D" w:rsidRPr="003C4E20" w14:paraId="0960A464" w14:textId="77777777" w:rsidTr="1BBEE06B">
        <w:tc>
          <w:tcPr>
            <w:tcW w:w="1670" w:type="pct"/>
            <w:shd w:val="clear" w:color="auto" w:fill="DEEAF6" w:themeFill="accent1" w:themeFillTint="33"/>
          </w:tcPr>
          <w:p w14:paraId="61BC437E" w14:textId="77777777" w:rsidR="0094432D" w:rsidRPr="003C4E20" w:rsidRDefault="0094432D" w:rsidP="0094432D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30" w:type="pct"/>
          </w:tcPr>
          <w:p w14:paraId="0E761EE7" w14:textId="5E4CC992" w:rsidR="003A110D" w:rsidRDefault="003A110D" w:rsidP="000F47E6">
            <w:pPr>
              <w:rPr>
                <w:sz w:val="20"/>
                <w:szCs w:val="20"/>
              </w:rPr>
            </w:pPr>
            <w:r w:rsidRPr="003A110D">
              <w:rPr>
                <w:sz w:val="20"/>
                <w:szCs w:val="20"/>
              </w:rPr>
              <w:t xml:space="preserve">Broj realiziranih projekata s ciljem poticanja inovacija </w:t>
            </w:r>
            <w:r w:rsidR="009B257F">
              <w:rPr>
                <w:rStyle w:val="FootnoteReference"/>
                <w:sz w:val="20"/>
                <w:szCs w:val="20"/>
              </w:rPr>
              <w:footnoteReference w:id="9"/>
            </w:r>
          </w:p>
          <w:p w14:paraId="648C4D7F" w14:textId="77777777" w:rsidR="0094432D" w:rsidRPr="001543B4" w:rsidRDefault="53A1624E" w:rsidP="000F47E6">
            <w:pPr>
              <w:rPr>
                <w:sz w:val="20"/>
                <w:szCs w:val="20"/>
              </w:rPr>
            </w:pPr>
            <w:r w:rsidRPr="1BBEE06B">
              <w:rPr>
                <w:sz w:val="20"/>
                <w:szCs w:val="20"/>
              </w:rPr>
              <w:t>2026. – 13</w:t>
            </w:r>
          </w:p>
          <w:p w14:paraId="7585E936" w14:textId="77777777" w:rsidR="0094432D" w:rsidRDefault="0094432D" w:rsidP="000F4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2027. – 0</w:t>
            </w:r>
          </w:p>
          <w:p w14:paraId="2D50A1EC" w14:textId="77777777" w:rsidR="003553F8" w:rsidRPr="003C4E20" w:rsidRDefault="003553F8" w:rsidP="000F47E6">
            <w:pPr>
              <w:rPr>
                <w:sz w:val="20"/>
                <w:szCs w:val="20"/>
              </w:rPr>
            </w:pPr>
          </w:p>
        </w:tc>
      </w:tr>
      <w:tr w:rsidR="0094432D" w:rsidRPr="003C4E20" w14:paraId="02E8EEAE" w14:textId="77777777" w:rsidTr="1BBEE06B">
        <w:tc>
          <w:tcPr>
            <w:tcW w:w="1670" w:type="pct"/>
            <w:shd w:val="clear" w:color="auto" w:fill="DEEAF6" w:themeFill="accent1" w:themeFillTint="33"/>
          </w:tcPr>
          <w:p w14:paraId="5B8F5902" w14:textId="77777777" w:rsidR="0094432D" w:rsidRPr="003C4E20" w:rsidRDefault="0094432D" w:rsidP="0094432D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30" w:type="pct"/>
          </w:tcPr>
          <w:p w14:paraId="255682E9" w14:textId="77777777" w:rsidR="0094432D" w:rsidRPr="003C4E20" w:rsidRDefault="003A110D" w:rsidP="00944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2.900.000,00</w:t>
            </w:r>
            <w:r w:rsidRPr="000F47E6">
              <w:rPr>
                <w:sz w:val="20"/>
                <w:szCs w:val="20"/>
              </w:rPr>
              <w:t xml:space="preserve"> EUR</w:t>
            </w:r>
          </w:p>
        </w:tc>
      </w:tr>
      <w:tr w:rsidR="0094432D" w:rsidRPr="003C4E20" w14:paraId="4C2E702A" w14:textId="77777777" w:rsidTr="1BBEE06B">
        <w:tc>
          <w:tcPr>
            <w:tcW w:w="1670" w:type="pct"/>
            <w:shd w:val="clear" w:color="auto" w:fill="DEEAF6" w:themeFill="accent1" w:themeFillTint="33"/>
          </w:tcPr>
          <w:p w14:paraId="3D192802" w14:textId="77777777" w:rsidR="0094432D" w:rsidRPr="003C4E20" w:rsidRDefault="0094432D" w:rsidP="0094432D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30" w:type="pct"/>
          </w:tcPr>
          <w:p w14:paraId="0920A14F" w14:textId="77777777" w:rsidR="000F47E6" w:rsidRPr="000F47E6" w:rsidRDefault="000F47E6" w:rsidP="000F47E6">
            <w:pPr>
              <w:contextualSpacing/>
              <w:jc w:val="both"/>
              <w:rPr>
                <w:sz w:val="20"/>
                <w:szCs w:val="20"/>
              </w:rPr>
            </w:pPr>
            <w:r w:rsidRPr="000F47E6">
              <w:rPr>
                <w:sz w:val="20"/>
                <w:szCs w:val="20"/>
              </w:rPr>
              <w:t>A916035 Razvoj održivog, inovativnog i otpornog turizma</w:t>
            </w:r>
          </w:p>
          <w:p w14:paraId="43D9103E" w14:textId="77777777" w:rsidR="0094432D" w:rsidRDefault="000F47E6" w:rsidP="000F47E6">
            <w:pPr>
              <w:contextualSpacing/>
              <w:jc w:val="both"/>
              <w:rPr>
                <w:sz w:val="20"/>
                <w:szCs w:val="20"/>
              </w:rPr>
            </w:pPr>
            <w:r w:rsidRPr="000F47E6">
              <w:rPr>
                <w:sz w:val="20"/>
                <w:szCs w:val="20"/>
              </w:rPr>
              <w:t xml:space="preserve">A916035.04 Jačanje održivosti te poticanje zelene i digitalne tranzicije poduzetnika – investicija 2, grupa 3  </w:t>
            </w:r>
          </w:p>
          <w:p w14:paraId="7950EB5E" w14:textId="1A1208BD" w:rsidR="000F47E6" w:rsidRDefault="002E6620" w:rsidP="003A110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– </w:t>
            </w:r>
            <w:r w:rsidR="003A110D">
              <w:rPr>
                <w:sz w:val="20"/>
                <w:szCs w:val="20"/>
              </w:rPr>
              <w:t>2.900.000,00</w:t>
            </w:r>
            <w:r w:rsidR="000F47E6" w:rsidRPr="000F47E6">
              <w:rPr>
                <w:sz w:val="20"/>
                <w:szCs w:val="20"/>
              </w:rPr>
              <w:t xml:space="preserve"> EUR</w:t>
            </w:r>
            <w:r w:rsidR="009214E7">
              <w:rPr>
                <w:sz w:val="20"/>
                <w:szCs w:val="20"/>
              </w:rPr>
              <w:t xml:space="preserve"> (izvor 581)</w:t>
            </w:r>
          </w:p>
          <w:p w14:paraId="306274FA" w14:textId="77777777" w:rsidR="00640730" w:rsidRPr="003C4E20" w:rsidRDefault="00640730" w:rsidP="003A110D">
            <w:pPr>
              <w:contextualSpacing/>
              <w:jc w:val="both"/>
              <w:rPr>
                <w:sz w:val="20"/>
                <w:szCs w:val="20"/>
              </w:rPr>
            </w:pPr>
            <w:r w:rsidRPr="00640730">
              <w:rPr>
                <w:sz w:val="20"/>
                <w:szCs w:val="20"/>
              </w:rPr>
              <w:t xml:space="preserve">2027. – </w:t>
            </w:r>
            <w:r>
              <w:rPr>
                <w:sz w:val="20"/>
                <w:szCs w:val="20"/>
              </w:rPr>
              <w:t>0</w:t>
            </w:r>
          </w:p>
        </w:tc>
      </w:tr>
      <w:tr w:rsidR="0094432D" w:rsidRPr="003C4E20" w14:paraId="6BA1BEBC" w14:textId="77777777" w:rsidTr="1BBEE06B">
        <w:tc>
          <w:tcPr>
            <w:tcW w:w="1670" w:type="pct"/>
            <w:shd w:val="clear" w:color="auto" w:fill="DEEAF6" w:themeFill="accent1" w:themeFillTint="33"/>
          </w:tcPr>
          <w:p w14:paraId="2C91D0D4" w14:textId="77777777" w:rsidR="0094432D" w:rsidRPr="003C4E20" w:rsidRDefault="0094432D" w:rsidP="0094432D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30" w:type="pct"/>
          </w:tcPr>
          <w:p w14:paraId="7105191F" w14:textId="77777777" w:rsidR="0094432D" w:rsidRPr="003C4E20" w:rsidRDefault="0094432D" w:rsidP="00944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MINTS</w:t>
            </w:r>
          </w:p>
        </w:tc>
      </w:tr>
      <w:tr w:rsidR="0094432D" w:rsidRPr="003C4E20" w14:paraId="4A18935A" w14:textId="77777777" w:rsidTr="1BBEE06B">
        <w:trPr>
          <w:trHeight w:val="70"/>
        </w:trPr>
        <w:tc>
          <w:tcPr>
            <w:tcW w:w="1670" w:type="pct"/>
            <w:shd w:val="clear" w:color="auto" w:fill="DEEAF6" w:themeFill="accent1" w:themeFillTint="33"/>
          </w:tcPr>
          <w:p w14:paraId="371F1188" w14:textId="77777777" w:rsidR="0094432D" w:rsidRPr="003C4E20" w:rsidRDefault="0094432D" w:rsidP="0094432D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30" w:type="pct"/>
          </w:tcPr>
          <w:p w14:paraId="3DF06327" w14:textId="77777777" w:rsidR="0094432D" w:rsidRPr="003C4E20" w:rsidRDefault="0094432D" w:rsidP="00944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HAMAG BICRO</w:t>
            </w:r>
          </w:p>
        </w:tc>
      </w:tr>
      <w:tr w:rsidR="0094432D" w:rsidRPr="003C4E20" w14:paraId="38318E0A" w14:textId="77777777" w:rsidTr="1BBEE06B">
        <w:trPr>
          <w:trHeight w:val="70"/>
        </w:trPr>
        <w:tc>
          <w:tcPr>
            <w:tcW w:w="1670" w:type="pct"/>
            <w:shd w:val="clear" w:color="auto" w:fill="DEEAF6" w:themeFill="accent1" w:themeFillTint="33"/>
          </w:tcPr>
          <w:p w14:paraId="2BD9C8C6" w14:textId="77777777" w:rsidR="0094432D" w:rsidRPr="003C4E20" w:rsidRDefault="0094432D" w:rsidP="0094432D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30" w:type="pct"/>
          </w:tcPr>
          <w:p w14:paraId="5CF82F0B" w14:textId="77777777" w:rsidR="0094432D" w:rsidRPr="003C4E20" w:rsidRDefault="0094432D" w:rsidP="00944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</w:tbl>
    <w:p w14:paraId="6022F5B0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1"/>
        <w:gridCol w:w="6005"/>
      </w:tblGrid>
      <w:tr w:rsidR="003C4E20" w:rsidRPr="003C4E20" w14:paraId="206B71CC" w14:textId="77777777" w:rsidTr="1BBEE06B">
        <w:tc>
          <w:tcPr>
            <w:tcW w:w="5000" w:type="pct"/>
            <w:gridSpan w:val="2"/>
            <w:shd w:val="clear" w:color="auto" w:fill="BDD6EE" w:themeFill="accent1" w:themeFillTint="66"/>
          </w:tcPr>
          <w:p w14:paraId="38385BE5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11" w:name="_Toc136497300"/>
            <w:bookmarkStart w:id="112" w:name="_Toc140856050"/>
            <w:bookmarkStart w:id="113" w:name="_Toc141982448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8.2.</w:t>
            </w:r>
            <w:bookmarkEnd w:id="111"/>
            <w:bookmarkEnd w:id="112"/>
            <w:bookmarkEnd w:id="113"/>
          </w:p>
          <w:p w14:paraId="652A3CCD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14" w:name="_Toc140856051"/>
            <w:bookmarkStart w:id="115" w:name="_Toc141982449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Razviti IT sustave i napredne e-usluge i alate za upravljanje destinacijom i turističkim tokovima</w:t>
            </w:r>
            <w:bookmarkEnd w:id="114"/>
            <w:bookmarkEnd w:id="115"/>
          </w:p>
        </w:tc>
      </w:tr>
      <w:tr w:rsidR="00587E72" w:rsidRPr="003C4E20" w14:paraId="784939F2" w14:textId="77777777" w:rsidTr="1BBEE06B">
        <w:tc>
          <w:tcPr>
            <w:tcW w:w="1670" w:type="pct"/>
            <w:shd w:val="clear" w:color="auto" w:fill="DEEAF6" w:themeFill="accent1" w:themeFillTint="33"/>
          </w:tcPr>
          <w:p w14:paraId="54F9531C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541" w14:textId="38EB8909" w:rsidR="00587E72" w:rsidRDefault="11EA8342" w:rsidP="009A1826">
            <w:pPr>
              <w:jc w:val="both"/>
              <w:rPr>
                <w:sz w:val="20"/>
                <w:szCs w:val="20"/>
              </w:rPr>
            </w:pPr>
            <w:r w:rsidRPr="1BBEE06B">
              <w:rPr>
                <w:sz w:val="20"/>
                <w:szCs w:val="20"/>
              </w:rPr>
              <w:t>Svrha mjere je stvoriti okruženje koje će olakšati upravljanje destinacijom i osigurati mogućnost donošenja odluka temeljeno na podacima. Kroz mjeru se razvija</w:t>
            </w:r>
            <w:r w:rsidR="2AE6EACE" w:rsidRPr="1BBEE06B">
              <w:rPr>
                <w:sz w:val="20"/>
                <w:szCs w:val="20"/>
              </w:rPr>
              <w:t>ju</w:t>
            </w:r>
            <w:r w:rsidRPr="1BBEE06B">
              <w:rPr>
                <w:sz w:val="20"/>
                <w:szCs w:val="20"/>
              </w:rPr>
              <w:t xml:space="preserve"> IT </w:t>
            </w:r>
            <w:r w:rsidR="009A1826">
              <w:rPr>
                <w:sz w:val="20"/>
                <w:szCs w:val="20"/>
              </w:rPr>
              <w:t xml:space="preserve">alati: </w:t>
            </w:r>
            <w:r w:rsidRPr="1BBEE06B">
              <w:rPr>
                <w:sz w:val="20"/>
                <w:szCs w:val="20"/>
              </w:rPr>
              <w:t xml:space="preserve">aplikativno rješenje za upravljanje destinacijama </w:t>
            </w:r>
            <w:r w:rsidR="43B2F131" w:rsidRPr="1BBEE06B">
              <w:rPr>
                <w:sz w:val="20"/>
                <w:szCs w:val="20"/>
              </w:rPr>
              <w:t xml:space="preserve">i </w:t>
            </w:r>
            <w:r w:rsidRPr="1BBEE06B">
              <w:rPr>
                <w:sz w:val="20"/>
                <w:szCs w:val="20"/>
              </w:rPr>
              <w:t>turističkim tokovima</w:t>
            </w:r>
            <w:r w:rsidR="009A1826">
              <w:rPr>
                <w:sz w:val="20"/>
                <w:szCs w:val="20"/>
              </w:rPr>
              <w:t xml:space="preserve"> </w:t>
            </w:r>
            <w:r w:rsidR="4AA1E167" w:rsidRPr="1BBEE06B">
              <w:rPr>
                <w:sz w:val="20"/>
                <w:szCs w:val="20"/>
              </w:rPr>
              <w:t>i aplikativno rješenj</w:t>
            </w:r>
            <w:r w:rsidR="00A3308C">
              <w:rPr>
                <w:sz w:val="20"/>
                <w:szCs w:val="20"/>
              </w:rPr>
              <w:t>e</w:t>
            </w:r>
            <w:r w:rsidR="4AA1E167" w:rsidRPr="1BBEE06B">
              <w:rPr>
                <w:sz w:val="20"/>
                <w:szCs w:val="20"/>
              </w:rPr>
              <w:t xml:space="preserve"> za sustavno praćenje pokazatelja odr</w:t>
            </w:r>
            <w:r w:rsidR="523A8270" w:rsidRPr="1BBEE06B">
              <w:rPr>
                <w:sz w:val="20"/>
                <w:szCs w:val="20"/>
              </w:rPr>
              <w:t>ž</w:t>
            </w:r>
            <w:r w:rsidR="4AA1E167" w:rsidRPr="1BBEE06B">
              <w:rPr>
                <w:sz w:val="20"/>
                <w:szCs w:val="20"/>
              </w:rPr>
              <w:t>ivosti destinacije</w:t>
            </w:r>
            <w:r w:rsidRPr="1BBEE06B">
              <w:rPr>
                <w:sz w:val="20"/>
                <w:szCs w:val="20"/>
              </w:rPr>
              <w:t xml:space="preserve"> koji će biti podrška turističkim zajednicama u održivom upravljanju destinacijom. </w:t>
            </w:r>
            <w:r w:rsidR="009A1826">
              <w:rPr>
                <w:sz w:val="20"/>
                <w:szCs w:val="20"/>
              </w:rPr>
              <w:t>Alate će k</w:t>
            </w:r>
            <w:r w:rsidRPr="1BBEE06B">
              <w:rPr>
                <w:sz w:val="20"/>
                <w:szCs w:val="20"/>
              </w:rPr>
              <w:t>oristit</w:t>
            </w:r>
            <w:r w:rsidR="00115E5A">
              <w:rPr>
                <w:sz w:val="20"/>
                <w:szCs w:val="20"/>
              </w:rPr>
              <w:t>i</w:t>
            </w:r>
            <w:r w:rsidRPr="1BBEE06B">
              <w:rPr>
                <w:sz w:val="20"/>
                <w:szCs w:val="20"/>
              </w:rPr>
              <w:t xml:space="preserve"> i </w:t>
            </w:r>
            <w:r w:rsidR="00115E5A">
              <w:rPr>
                <w:sz w:val="20"/>
                <w:szCs w:val="20"/>
              </w:rPr>
              <w:t>JLP(R)S</w:t>
            </w:r>
            <w:r w:rsidRPr="1BBEE06B">
              <w:rPr>
                <w:sz w:val="20"/>
                <w:szCs w:val="20"/>
              </w:rPr>
              <w:t xml:space="preserve">, </w:t>
            </w:r>
            <w:r w:rsidR="0025174C">
              <w:rPr>
                <w:sz w:val="20"/>
                <w:szCs w:val="20"/>
              </w:rPr>
              <w:t xml:space="preserve">a </w:t>
            </w:r>
            <w:r w:rsidRPr="1BBEE06B">
              <w:rPr>
                <w:sz w:val="20"/>
                <w:szCs w:val="20"/>
              </w:rPr>
              <w:t xml:space="preserve">intencija </w:t>
            </w:r>
            <w:r w:rsidR="009A1826">
              <w:rPr>
                <w:sz w:val="20"/>
                <w:szCs w:val="20"/>
              </w:rPr>
              <w:t xml:space="preserve">je poticanje </w:t>
            </w:r>
            <w:r w:rsidRPr="1BBEE06B">
              <w:rPr>
                <w:sz w:val="20"/>
                <w:szCs w:val="20"/>
              </w:rPr>
              <w:t>digitaln</w:t>
            </w:r>
            <w:r w:rsidR="009A1826">
              <w:rPr>
                <w:sz w:val="20"/>
                <w:szCs w:val="20"/>
              </w:rPr>
              <w:t>e</w:t>
            </w:r>
            <w:r w:rsidRPr="1BBEE06B">
              <w:rPr>
                <w:sz w:val="20"/>
                <w:szCs w:val="20"/>
              </w:rPr>
              <w:t xml:space="preserve"> </w:t>
            </w:r>
            <w:r w:rsidR="009A1826" w:rsidRPr="1BBEE06B">
              <w:rPr>
                <w:sz w:val="20"/>
                <w:szCs w:val="20"/>
              </w:rPr>
              <w:t>transformacij</w:t>
            </w:r>
            <w:r w:rsidR="009A1826">
              <w:rPr>
                <w:sz w:val="20"/>
                <w:szCs w:val="20"/>
              </w:rPr>
              <w:t>e</w:t>
            </w:r>
            <w:r w:rsidR="009A1826" w:rsidRPr="1BBEE06B">
              <w:rPr>
                <w:sz w:val="20"/>
                <w:szCs w:val="20"/>
              </w:rPr>
              <w:t xml:space="preserve"> </w:t>
            </w:r>
            <w:r w:rsidRPr="1BBEE06B">
              <w:rPr>
                <w:sz w:val="20"/>
                <w:szCs w:val="20"/>
              </w:rPr>
              <w:t>u smj</w:t>
            </w:r>
            <w:r w:rsidR="00295DF9">
              <w:rPr>
                <w:sz w:val="20"/>
                <w:szCs w:val="20"/>
              </w:rPr>
              <w:t>eru razvoja pametne destinacije.</w:t>
            </w:r>
          </w:p>
          <w:p w14:paraId="2F6607E2" w14:textId="77777777" w:rsidR="00295DF9" w:rsidRPr="003C4E20" w:rsidRDefault="00295DF9" w:rsidP="009A1826">
            <w:pPr>
              <w:jc w:val="both"/>
              <w:rPr>
                <w:sz w:val="20"/>
                <w:szCs w:val="20"/>
              </w:rPr>
            </w:pPr>
          </w:p>
        </w:tc>
      </w:tr>
      <w:tr w:rsidR="00587E72" w:rsidRPr="003C4E20" w14:paraId="201AFDFC" w14:textId="77777777" w:rsidTr="1BBEE06B">
        <w:tc>
          <w:tcPr>
            <w:tcW w:w="1670" w:type="pct"/>
            <w:shd w:val="clear" w:color="auto" w:fill="DEEAF6" w:themeFill="accent1" w:themeFillTint="33"/>
          </w:tcPr>
          <w:p w14:paraId="2C40F8BE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665E" w14:textId="77777777" w:rsidR="00587E72" w:rsidRPr="00587E72" w:rsidRDefault="00587E72" w:rsidP="00587E72">
            <w:pPr>
              <w:rPr>
                <w:sz w:val="20"/>
                <w:szCs w:val="20"/>
              </w:rPr>
            </w:pPr>
            <w:r w:rsidRPr="00587E72">
              <w:rPr>
                <w:sz w:val="20"/>
                <w:szCs w:val="20"/>
              </w:rPr>
              <w:t>Broj uspostavljenih IT alata:</w:t>
            </w:r>
          </w:p>
          <w:p w14:paraId="58CAF9B7" w14:textId="77777777" w:rsidR="00587E72" w:rsidRPr="00100514" w:rsidRDefault="00587E72" w:rsidP="00100514">
            <w:pPr>
              <w:rPr>
                <w:sz w:val="20"/>
                <w:szCs w:val="20"/>
              </w:rPr>
            </w:pPr>
            <w:r w:rsidRPr="00100514">
              <w:rPr>
                <w:sz w:val="20"/>
                <w:szCs w:val="20"/>
              </w:rPr>
              <w:t>2026.</w:t>
            </w:r>
            <w:r w:rsidR="007945FE">
              <w:rPr>
                <w:sz w:val="20"/>
                <w:szCs w:val="20"/>
              </w:rPr>
              <w:t xml:space="preserve">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100514">
              <w:rPr>
                <w:sz w:val="20"/>
                <w:szCs w:val="20"/>
              </w:rPr>
              <w:t xml:space="preserve">2 </w:t>
            </w:r>
          </w:p>
          <w:p w14:paraId="7DDACBF3" w14:textId="77777777" w:rsidR="00587E72" w:rsidRDefault="00587E72" w:rsidP="0010051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00514">
              <w:rPr>
                <w:rFonts w:cstheme="minorHAnsi"/>
                <w:color w:val="000000"/>
                <w:sz w:val="20"/>
                <w:szCs w:val="20"/>
              </w:rPr>
              <w:t>2027. – 0</w:t>
            </w:r>
          </w:p>
          <w:p w14:paraId="4DCF2DC0" w14:textId="77777777" w:rsidR="00295DF9" w:rsidRPr="00100514" w:rsidRDefault="00295DF9" w:rsidP="00100514">
            <w:pPr>
              <w:rPr>
                <w:sz w:val="20"/>
                <w:szCs w:val="20"/>
              </w:rPr>
            </w:pPr>
          </w:p>
        </w:tc>
      </w:tr>
      <w:tr w:rsidR="00587E72" w:rsidRPr="003C4E20" w14:paraId="6ED59D25" w14:textId="77777777" w:rsidTr="1BBEE06B">
        <w:tc>
          <w:tcPr>
            <w:tcW w:w="1670" w:type="pct"/>
            <w:shd w:val="clear" w:color="auto" w:fill="DEEAF6" w:themeFill="accent1" w:themeFillTint="33"/>
          </w:tcPr>
          <w:p w14:paraId="468E8137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FE8F" w14:textId="77777777" w:rsidR="00587E72" w:rsidRPr="00DA73B1" w:rsidRDefault="009A1826" w:rsidP="00587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2.051.250,00</w:t>
            </w:r>
            <w:r w:rsidR="002912A3">
              <w:rPr>
                <w:sz w:val="20"/>
                <w:szCs w:val="20"/>
              </w:rPr>
              <w:t xml:space="preserve"> </w:t>
            </w:r>
            <w:r w:rsidR="002912A3" w:rsidRPr="1BBEE06B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87E72" w:rsidRPr="003C4E20" w14:paraId="7B29E131" w14:textId="77777777" w:rsidTr="1BBEE06B">
        <w:tc>
          <w:tcPr>
            <w:tcW w:w="1670" w:type="pct"/>
            <w:shd w:val="clear" w:color="auto" w:fill="DEEAF6" w:themeFill="accent1" w:themeFillTint="33"/>
          </w:tcPr>
          <w:p w14:paraId="13FA958C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E24" w14:textId="77777777" w:rsidR="00100514" w:rsidRPr="00100514" w:rsidRDefault="00100514" w:rsidP="00100514">
            <w:pPr>
              <w:jc w:val="both"/>
              <w:rPr>
                <w:sz w:val="20"/>
                <w:szCs w:val="20"/>
              </w:rPr>
            </w:pPr>
            <w:r w:rsidRPr="00100514">
              <w:rPr>
                <w:sz w:val="20"/>
                <w:szCs w:val="20"/>
              </w:rPr>
              <w:t>A916035 Razvoj održivog, inovativnog i otpornog turizma</w:t>
            </w:r>
          </w:p>
          <w:p w14:paraId="50BBE9FC" w14:textId="77777777" w:rsidR="00100514" w:rsidRDefault="00100514" w:rsidP="00100514">
            <w:pPr>
              <w:jc w:val="both"/>
              <w:rPr>
                <w:sz w:val="20"/>
                <w:szCs w:val="20"/>
              </w:rPr>
            </w:pPr>
            <w:r w:rsidRPr="00100514">
              <w:rPr>
                <w:sz w:val="20"/>
                <w:szCs w:val="20"/>
              </w:rPr>
              <w:t xml:space="preserve">A916035.06 - NPOO 2.3. C2.3.R3-I15 Uspostava aplikativnih rješenja u turizmu s ciljem administrativnog rasterećenja poduzetnika te transformacije modela turizma ka održivosti </w:t>
            </w:r>
          </w:p>
          <w:p w14:paraId="540C3725" w14:textId="54F21380" w:rsidR="00100514" w:rsidRDefault="0830F330" w:rsidP="00100514">
            <w:pPr>
              <w:jc w:val="both"/>
              <w:rPr>
                <w:sz w:val="20"/>
                <w:szCs w:val="20"/>
              </w:rPr>
            </w:pPr>
            <w:r w:rsidRPr="1BBEE06B">
              <w:rPr>
                <w:sz w:val="20"/>
                <w:szCs w:val="20"/>
              </w:rPr>
              <w:t>2026</w:t>
            </w:r>
            <w:r w:rsidR="002E639D">
              <w:rPr>
                <w:sz w:val="20"/>
                <w:szCs w:val="20"/>
              </w:rPr>
              <w:t>.</w:t>
            </w:r>
            <w:r w:rsidRPr="1BBEE06B">
              <w:rPr>
                <w:sz w:val="20"/>
                <w:szCs w:val="20"/>
              </w:rPr>
              <w:t xml:space="preserve"> </w:t>
            </w:r>
            <w:r w:rsidR="00C75C7A">
              <w:rPr>
                <w:sz w:val="20"/>
                <w:szCs w:val="20"/>
              </w:rPr>
              <w:t xml:space="preserve">– </w:t>
            </w:r>
            <w:r w:rsidR="009A1826">
              <w:rPr>
                <w:sz w:val="20"/>
                <w:szCs w:val="20"/>
              </w:rPr>
              <w:t xml:space="preserve">2.051.250,00 </w:t>
            </w:r>
            <w:r w:rsidR="0A4306B1" w:rsidRPr="1BBEE06B">
              <w:rPr>
                <w:sz w:val="20"/>
                <w:szCs w:val="20"/>
              </w:rPr>
              <w:t>EUR</w:t>
            </w:r>
            <w:r w:rsidRPr="1BBEE06B">
              <w:rPr>
                <w:sz w:val="20"/>
                <w:szCs w:val="20"/>
              </w:rPr>
              <w:t xml:space="preserve"> </w:t>
            </w:r>
            <w:r w:rsidR="009214E7">
              <w:rPr>
                <w:sz w:val="20"/>
                <w:szCs w:val="20"/>
              </w:rPr>
              <w:t>(izvor 581)</w:t>
            </w:r>
          </w:p>
          <w:p w14:paraId="73AC7508" w14:textId="77777777" w:rsidR="00640730" w:rsidRPr="008D3239" w:rsidRDefault="00640730" w:rsidP="00100514">
            <w:pPr>
              <w:jc w:val="both"/>
              <w:rPr>
                <w:sz w:val="20"/>
                <w:szCs w:val="20"/>
              </w:rPr>
            </w:pPr>
            <w:r w:rsidRPr="00640730">
              <w:rPr>
                <w:sz w:val="20"/>
                <w:szCs w:val="20"/>
              </w:rPr>
              <w:t xml:space="preserve">2027. – </w:t>
            </w:r>
            <w:r>
              <w:rPr>
                <w:sz w:val="20"/>
                <w:szCs w:val="20"/>
              </w:rPr>
              <w:t>0</w:t>
            </w:r>
          </w:p>
          <w:p w14:paraId="3A12B801" w14:textId="77777777" w:rsidR="00587E72" w:rsidRPr="003C4E20" w:rsidRDefault="00587E72" w:rsidP="00587E72">
            <w:pPr>
              <w:ind w:left="362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87E72" w:rsidRPr="003C4E20" w14:paraId="1D8E6CB1" w14:textId="77777777" w:rsidTr="1BBEE06B">
        <w:tc>
          <w:tcPr>
            <w:tcW w:w="1670" w:type="pct"/>
            <w:shd w:val="clear" w:color="auto" w:fill="DEEAF6" w:themeFill="accent1" w:themeFillTint="33"/>
          </w:tcPr>
          <w:p w14:paraId="10B1050C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54BB" w14:textId="77777777" w:rsidR="00587E72" w:rsidRPr="003C4E20" w:rsidRDefault="003F1C26" w:rsidP="00587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MINTS</w:t>
            </w:r>
          </w:p>
        </w:tc>
      </w:tr>
      <w:tr w:rsidR="00587E72" w:rsidRPr="003C4E20" w14:paraId="111FFA88" w14:textId="77777777" w:rsidTr="1BBEE06B">
        <w:tc>
          <w:tcPr>
            <w:tcW w:w="1670" w:type="pct"/>
            <w:shd w:val="clear" w:color="auto" w:fill="DEEAF6" w:themeFill="accent1" w:themeFillTint="33"/>
          </w:tcPr>
          <w:p w14:paraId="7BEC855C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0A11" w14:textId="77777777" w:rsidR="00587E72" w:rsidRPr="003C4E20" w:rsidRDefault="00587E72" w:rsidP="00587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587E72" w:rsidRPr="003C4E20" w14:paraId="2BB41F2F" w14:textId="77777777" w:rsidTr="1BBEE06B">
        <w:tc>
          <w:tcPr>
            <w:tcW w:w="1670" w:type="pct"/>
            <w:shd w:val="clear" w:color="auto" w:fill="DEEAF6" w:themeFill="accent1" w:themeFillTint="33"/>
          </w:tcPr>
          <w:p w14:paraId="12DAEA68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7B1" w14:textId="77777777" w:rsidR="00587E72" w:rsidRPr="003C4E20" w:rsidRDefault="00587E72" w:rsidP="00587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</w:tbl>
    <w:p w14:paraId="381D078C" w14:textId="426B44F3" w:rsidR="00AB000E" w:rsidRDefault="00AB000E" w:rsidP="003C4E20">
      <w:pPr>
        <w:rPr>
          <w:rFonts w:ascii="Times New Roman" w:hAnsi="Times New Roman" w:cs="Times New Roman"/>
        </w:rPr>
      </w:pPr>
    </w:p>
    <w:p w14:paraId="2840E4B6" w14:textId="77777777" w:rsidR="005276E2" w:rsidRPr="003C4E20" w:rsidRDefault="005276E2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3C4E20" w:rsidRPr="003C4E20" w14:paraId="03047B94" w14:textId="77777777" w:rsidTr="003C4E20">
        <w:tc>
          <w:tcPr>
            <w:tcW w:w="5000" w:type="pct"/>
            <w:gridSpan w:val="3"/>
            <w:shd w:val="clear" w:color="auto" w:fill="002060"/>
          </w:tcPr>
          <w:p w14:paraId="4CB7458C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116" w:name="_Toc136497302"/>
            <w:bookmarkStart w:id="117" w:name="_Toc140856052"/>
            <w:bookmarkStart w:id="118" w:name="_Toc141982450"/>
            <w:r w:rsidRPr="003C4E20">
              <w:rPr>
                <w:rFonts w:eastAsiaTheme="majorEastAsia"/>
                <w:color w:val="2E74B5" w:themeColor="accent1" w:themeShade="BF"/>
                <w:sz w:val="28"/>
                <w:szCs w:val="32"/>
              </w:rPr>
              <w:t>Posebni cilj 9.</w:t>
            </w:r>
            <w:bookmarkEnd w:id="116"/>
            <w:bookmarkEnd w:id="117"/>
            <w:bookmarkEnd w:id="118"/>
          </w:p>
          <w:p w14:paraId="2DF3F4D6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119" w:name="_Toc140856053"/>
            <w:bookmarkStart w:id="120" w:name="_Toc141982451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>USPOSTAVLJANJE UČINKOVITOG OKVIRA ZA UPRAVLJANJE RAZVOJEM ODRŽIVOG TURIZMA</w:t>
            </w:r>
            <w:bookmarkEnd w:id="119"/>
            <w:bookmarkEnd w:id="120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ab/>
            </w:r>
          </w:p>
        </w:tc>
      </w:tr>
      <w:tr w:rsidR="003C4E20" w:rsidRPr="003C4E20" w14:paraId="3BA4531E" w14:textId="77777777" w:rsidTr="003C4E20">
        <w:tc>
          <w:tcPr>
            <w:tcW w:w="1666" w:type="pct"/>
            <w:shd w:val="clear" w:color="auto" w:fill="DEEAF6" w:themeFill="accent1" w:themeFillTint="33"/>
          </w:tcPr>
          <w:p w14:paraId="5E059B54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ishoda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1824D90F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Početna vrijednost pokazatelja ishoda 2019.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58A7E260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Ciljana vrijednost pokazatelja ishoda 2027.*</w:t>
            </w:r>
          </w:p>
        </w:tc>
      </w:tr>
      <w:tr w:rsidR="003C4E20" w:rsidRPr="003C4E20" w14:paraId="0C9A5964" w14:textId="77777777" w:rsidTr="003C4E20">
        <w:tc>
          <w:tcPr>
            <w:tcW w:w="1666" w:type="pct"/>
            <w:vAlign w:val="center"/>
          </w:tcPr>
          <w:p w14:paraId="2A15825D" w14:textId="43BB5923" w:rsidR="003C4E20" w:rsidRPr="003C4E20" w:rsidRDefault="004A1C6D" w:rsidP="0039239F">
            <w:pPr>
              <w:jc w:val="center"/>
              <w:rPr>
                <w:sz w:val="20"/>
                <w:szCs w:val="20"/>
              </w:rPr>
            </w:pPr>
            <w:r w:rsidRPr="004A1C6D">
              <w:rPr>
                <w:sz w:val="20"/>
                <w:szCs w:val="20"/>
              </w:rPr>
              <w:t>OI.02.8.58</w:t>
            </w:r>
            <w:r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>Indeks razvoja putovanja i turizma (TTDI-WEF) – Politike i uvjeti djelovanja</w:t>
            </w:r>
            <w:r w:rsidR="009B257F">
              <w:rPr>
                <w:sz w:val="20"/>
                <w:szCs w:val="20"/>
              </w:rPr>
              <w:t>**</w:t>
            </w:r>
          </w:p>
        </w:tc>
        <w:tc>
          <w:tcPr>
            <w:tcW w:w="1667" w:type="pct"/>
            <w:vAlign w:val="center"/>
          </w:tcPr>
          <w:p w14:paraId="1636E2CF" w14:textId="77777777" w:rsidR="003C4E20" w:rsidRPr="003C4E20" w:rsidRDefault="00100514" w:rsidP="003C4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667" w:type="pct"/>
            <w:vAlign w:val="center"/>
          </w:tcPr>
          <w:p w14:paraId="52A7DB71" w14:textId="77777777" w:rsidR="003C4E20" w:rsidRPr="003C4E20" w:rsidRDefault="003C4E20" w:rsidP="00100514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≤</w:t>
            </w:r>
            <w:r w:rsidR="00100514">
              <w:rPr>
                <w:sz w:val="20"/>
                <w:szCs w:val="20"/>
              </w:rPr>
              <w:t>69</w:t>
            </w:r>
          </w:p>
        </w:tc>
      </w:tr>
    </w:tbl>
    <w:p w14:paraId="186414EB" w14:textId="77777777" w:rsidR="003C4E20" w:rsidRDefault="003C4E20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 w:rsidRPr="003C4E20">
        <w:rPr>
          <w:rFonts w:ascii="Times New Roman" w:hAnsi="Times New Roman" w:cs="Times New Roman"/>
          <w:i/>
          <w:sz w:val="16"/>
          <w:szCs w:val="18"/>
        </w:rPr>
        <w:t>* Sukladno Nacionalnom planu razvoja održivog turizma do 2027.</w:t>
      </w:r>
    </w:p>
    <w:p w14:paraId="0585D899" w14:textId="6F373306" w:rsidR="009B257F" w:rsidRPr="003C4E20" w:rsidRDefault="009B257F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 xml:space="preserve">** </w:t>
      </w:r>
      <w:r w:rsidRPr="0012513F">
        <w:rPr>
          <w:rFonts w:ascii="Times New Roman" w:hAnsi="Times New Roman" w:cs="Times New Roman"/>
          <w:i/>
          <w:sz w:val="16"/>
          <w:szCs w:val="18"/>
        </w:rPr>
        <w:t>Vrijednosti su iskazane sukladno trenutno važećoj metodologiji</w:t>
      </w:r>
      <w:r>
        <w:rPr>
          <w:rFonts w:ascii="Times New Roman" w:hAnsi="Times New Roman" w:cs="Times New Roman"/>
          <w:i/>
          <w:sz w:val="16"/>
          <w:szCs w:val="18"/>
        </w:rPr>
        <w:t xml:space="preserve"> izračuna pokazatelja</w:t>
      </w:r>
    </w:p>
    <w:p w14:paraId="528328B4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3"/>
        <w:gridCol w:w="6003"/>
      </w:tblGrid>
      <w:tr w:rsidR="003C4E20" w:rsidRPr="003C4E20" w14:paraId="29BFFD37" w14:textId="77777777" w:rsidTr="1BBEE06B">
        <w:tc>
          <w:tcPr>
            <w:tcW w:w="5000" w:type="pct"/>
            <w:gridSpan w:val="2"/>
            <w:shd w:val="clear" w:color="auto" w:fill="BDD6EE" w:themeFill="accent1" w:themeFillTint="66"/>
          </w:tcPr>
          <w:p w14:paraId="0CBD571D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21" w:name="_Toc136497304"/>
            <w:bookmarkStart w:id="122" w:name="_Toc140856054"/>
            <w:bookmarkStart w:id="123" w:name="_Toc141982452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9.1.</w:t>
            </w:r>
            <w:bookmarkEnd w:id="121"/>
            <w:bookmarkEnd w:id="122"/>
            <w:bookmarkEnd w:id="123"/>
          </w:p>
          <w:p w14:paraId="56C39F38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24" w:name="_Toc140856055"/>
            <w:bookmarkStart w:id="125" w:name="_Toc141982453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Stvoriti preduvjete za upravljanje razvojem turizma u smjeru održivosti</w:t>
            </w:r>
            <w:bookmarkEnd w:id="124"/>
            <w:bookmarkEnd w:id="125"/>
          </w:p>
        </w:tc>
      </w:tr>
      <w:tr w:rsidR="00681E72" w:rsidRPr="003C4E20" w14:paraId="3CA29883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4561E09A" w14:textId="77777777" w:rsidR="00681E72" w:rsidRPr="003C4E20" w:rsidRDefault="00681E72" w:rsidP="00681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9" w:type="pct"/>
          </w:tcPr>
          <w:p w14:paraId="56F24192" w14:textId="77777777" w:rsidR="00681E72" w:rsidRDefault="3F52A67F" w:rsidP="0094305F">
            <w:pPr>
              <w:jc w:val="both"/>
              <w:rPr>
                <w:sz w:val="20"/>
                <w:szCs w:val="20"/>
              </w:rPr>
            </w:pPr>
            <w:r w:rsidRPr="1BBEE06B">
              <w:rPr>
                <w:sz w:val="20"/>
                <w:szCs w:val="20"/>
              </w:rPr>
              <w:t>Izradom krovnoga Zakona o turizmu, osigura</w:t>
            </w:r>
            <w:r w:rsidR="2A53272A" w:rsidRPr="1BBEE06B">
              <w:rPr>
                <w:sz w:val="20"/>
                <w:szCs w:val="20"/>
              </w:rPr>
              <w:t>n</w:t>
            </w:r>
            <w:r w:rsidRPr="1BBEE06B">
              <w:rPr>
                <w:sz w:val="20"/>
                <w:szCs w:val="20"/>
              </w:rPr>
              <w:t xml:space="preserve"> </w:t>
            </w:r>
            <w:r w:rsidR="2A53272A" w:rsidRPr="1BBEE06B">
              <w:rPr>
                <w:sz w:val="20"/>
                <w:szCs w:val="20"/>
              </w:rPr>
              <w:t>je</w:t>
            </w:r>
            <w:r w:rsidRPr="1BBEE06B">
              <w:rPr>
                <w:sz w:val="20"/>
                <w:szCs w:val="20"/>
              </w:rPr>
              <w:t xml:space="preserve"> učinkoviti okvir za upravljanje razvojem turizma u smjeru održivosti. Zakon </w:t>
            </w:r>
            <w:r w:rsidR="2A53272A" w:rsidRPr="1BBEE06B">
              <w:rPr>
                <w:sz w:val="20"/>
                <w:szCs w:val="20"/>
              </w:rPr>
              <w:t xml:space="preserve">je </w:t>
            </w:r>
            <w:r w:rsidRPr="1BBEE06B">
              <w:rPr>
                <w:sz w:val="20"/>
                <w:szCs w:val="20"/>
              </w:rPr>
              <w:t>predvid</w:t>
            </w:r>
            <w:r w:rsidR="00362998">
              <w:rPr>
                <w:sz w:val="20"/>
                <w:szCs w:val="20"/>
              </w:rPr>
              <w:t>io</w:t>
            </w:r>
            <w:r w:rsidRPr="1BBEE06B">
              <w:rPr>
                <w:sz w:val="20"/>
                <w:szCs w:val="20"/>
              </w:rPr>
              <w:t xml:space="preserve"> alate za unaprjeđenje učinkovitosti sustava turističkih zajednica i nastavak integracije principa destinacijske menadžment organizacije kao i preuzimanje novih odgovornosti i zadataka. Aktivnosti na stvaranju novog okvira</w:t>
            </w:r>
            <w:r w:rsidR="2A53272A" w:rsidRPr="1BBEE06B">
              <w:rPr>
                <w:sz w:val="20"/>
                <w:szCs w:val="20"/>
              </w:rPr>
              <w:t xml:space="preserve"> za upravljanje razvojem turizma u smjeru održivosti</w:t>
            </w:r>
            <w:r w:rsidRPr="1BBEE06B">
              <w:rPr>
                <w:sz w:val="20"/>
                <w:szCs w:val="20"/>
              </w:rPr>
              <w:t xml:space="preserve">, obuhvatit će </w:t>
            </w:r>
            <w:r w:rsidR="007F28AC">
              <w:rPr>
                <w:sz w:val="20"/>
                <w:szCs w:val="20"/>
              </w:rPr>
              <w:t xml:space="preserve">daljnju </w:t>
            </w:r>
            <w:r w:rsidRPr="1BBEE06B">
              <w:rPr>
                <w:sz w:val="20"/>
                <w:szCs w:val="20"/>
              </w:rPr>
              <w:t>analizu postojećih propisa i potrebu njihova usklađivanja s krovnim zakonom</w:t>
            </w:r>
            <w:r w:rsidR="007F28AC">
              <w:rPr>
                <w:sz w:val="20"/>
                <w:szCs w:val="20"/>
              </w:rPr>
              <w:t>. U okviru daljnjeg u</w:t>
            </w:r>
            <w:r w:rsidRPr="1BBEE06B">
              <w:rPr>
                <w:sz w:val="20"/>
                <w:szCs w:val="20"/>
              </w:rPr>
              <w:t>sklađivanj</w:t>
            </w:r>
            <w:r w:rsidR="007F28AC">
              <w:rPr>
                <w:sz w:val="20"/>
                <w:szCs w:val="20"/>
              </w:rPr>
              <w:t>a</w:t>
            </w:r>
            <w:r w:rsidRPr="1BBEE06B">
              <w:rPr>
                <w:sz w:val="20"/>
                <w:szCs w:val="20"/>
              </w:rPr>
              <w:t xml:space="preserve"> </w:t>
            </w:r>
            <w:r w:rsidR="007F28AC">
              <w:rPr>
                <w:sz w:val="20"/>
                <w:szCs w:val="20"/>
              </w:rPr>
              <w:t>postojećeg zakonodavnog okvira</w:t>
            </w:r>
            <w:r w:rsidR="007F28AC" w:rsidRPr="1BBEE06B">
              <w:rPr>
                <w:sz w:val="20"/>
                <w:szCs w:val="20"/>
              </w:rPr>
              <w:t xml:space="preserve"> </w:t>
            </w:r>
            <w:r w:rsidR="007F28AC">
              <w:rPr>
                <w:sz w:val="20"/>
                <w:szCs w:val="20"/>
              </w:rPr>
              <w:t>donijet će se novi Zakon o ugostiteljskoj djelatnosti.</w:t>
            </w:r>
          </w:p>
          <w:p w14:paraId="26CA5EC6" w14:textId="77777777" w:rsidR="00295DF9" w:rsidRPr="003C4E20" w:rsidRDefault="00295DF9" w:rsidP="0094305F">
            <w:pPr>
              <w:jc w:val="both"/>
              <w:rPr>
                <w:sz w:val="20"/>
                <w:szCs w:val="20"/>
              </w:rPr>
            </w:pPr>
          </w:p>
        </w:tc>
      </w:tr>
      <w:tr w:rsidR="00681E72" w:rsidRPr="003C4E20" w14:paraId="0C567B6F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44C1B77A" w14:textId="77777777" w:rsidR="00681E72" w:rsidRPr="003C4E20" w:rsidRDefault="00681E72" w:rsidP="00681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9" w:type="pct"/>
          </w:tcPr>
          <w:p w14:paraId="56A88DA6" w14:textId="77777777" w:rsidR="006B2340" w:rsidRDefault="00286F4E" w:rsidP="004537D0">
            <w:pPr>
              <w:jc w:val="both"/>
              <w:rPr>
                <w:sz w:val="20"/>
                <w:szCs w:val="20"/>
              </w:rPr>
            </w:pPr>
            <w:r w:rsidRPr="004537D0">
              <w:rPr>
                <w:sz w:val="20"/>
                <w:szCs w:val="20"/>
              </w:rPr>
              <w:t>Broj donesenih zakon</w:t>
            </w:r>
            <w:r w:rsidR="00A3308C">
              <w:rPr>
                <w:sz w:val="20"/>
                <w:szCs w:val="20"/>
              </w:rPr>
              <w:t>a</w:t>
            </w:r>
            <w:r w:rsidRPr="004537D0">
              <w:rPr>
                <w:sz w:val="20"/>
                <w:szCs w:val="20"/>
              </w:rPr>
              <w:t xml:space="preserve"> </w:t>
            </w:r>
          </w:p>
          <w:p w14:paraId="1B4EFA57" w14:textId="77777777" w:rsidR="00681E72" w:rsidRDefault="00286F4E" w:rsidP="004537D0">
            <w:pPr>
              <w:jc w:val="both"/>
              <w:rPr>
                <w:sz w:val="20"/>
                <w:szCs w:val="20"/>
              </w:rPr>
            </w:pPr>
            <w:r w:rsidRPr="004537D0">
              <w:rPr>
                <w:sz w:val="20"/>
                <w:szCs w:val="20"/>
              </w:rPr>
              <w:t xml:space="preserve">2026. – 1 </w:t>
            </w:r>
          </w:p>
          <w:p w14:paraId="3FE697B3" w14:textId="6D486B7B" w:rsidR="00FD3C04" w:rsidRPr="004537D0" w:rsidRDefault="002E6620" w:rsidP="004537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– </w:t>
            </w:r>
            <w:r w:rsidR="00FD3C04">
              <w:rPr>
                <w:sz w:val="20"/>
                <w:szCs w:val="20"/>
              </w:rPr>
              <w:t>0</w:t>
            </w:r>
          </w:p>
        </w:tc>
      </w:tr>
      <w:tr w:rsidR="00681E72" w:rsidRPr="003C4E20" w14:paraId="6E815159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6CC9F6C9" w14:textId="77777777" w:rsidR="00681E72" w:rsidRPr="003C4E20" w:rsidRDefault="00681E72" w:rsidP="00681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9" w:type="pct"/>
          </w:tcPr>
          <w:p w14:paraId="1B0D7655" w14:textId="77777777" w:rsidR="00681E72" w:rsidRPr="003C4E20" w:rsidRDefault="00681E72" w:rsidP="00681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N/P</w:t>
            </w:r>
          </w:p>
        </w:tc>
      </w:tr>
      <w:tr w:rsidR="00681E72" w:rsidRPr="003C4E20" w14:paraId="60DE234E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721AC58E" w14:textId="77777777" w:rsidR="00681E72" w:rsidRPr="003C4E20" w:rsidRDefault="00681E72" w:rsidP="00681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9" w:type="pct"/>
          </w:tcPr>
          <w:p w14:paraId="0819CD1A" w14:textId="77777777" w:rsidR="00681E72" w:rsidRPr="003C4E20" w:rsidRDefault="00681E72" w:rsidP="00681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N/P</w:t>
            </w:r>
          </w:p>
        </w:tc>
      </w:tr>
      <w:tr w:rsidR="00681E72" w:rsidRPr="003C4E20" w14:paraId="0B30A441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44FD3E67" w14:textId="77777777" w:rsidR="00681E72" w:rsidRPr="003C4E20" w:rsidRDefault="00681E72" w:rsidP="00681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9" w:type="pct"/>
          </w:tcPr>
          <w:p w14:paraId="424FD1CE" w14:textId="77777777" w:rsidR="00681E72" w:rsidRPr="003C4E20" w:rsidRDefault="00681E72" w:rsidP="00681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MINTS</w:t>
            </w:r>
          </w:p>
        </w:tc>
      </w:tr>
      <w:tr w:rsidR="00681E72" w:rsidRPr="003C4E20" w14:paraId="7A7CAC20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641A11FA" w14:textId="77777777" w:rsidR="00681E72" w:rsidRPr="003C4E20" w:rsidRDefault="00681E72" w:rsidP="00681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9" w:type="pct"/>
          </w:tcPr>
          <w:p w14:paraId="57307EC8" w14:textId="77777777" w:rsidR="00681E72" w:rsidRPr="003C4E20" w:rsidRDefault="00681E72" w:rsidP="00681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681E72" w:rsidRPr="003C4E20" w14:paraId="16868335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1BE42FED" w14:textId="77777777" w:rsidR="00681E72" w:rsidRPr="003C4E20" w:rsidRDefault="00681E72" w:rsidP="00681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29" w:type="pct"/>
          </w:tcPr>
          <w:p w14:paraId="1C0F6AF2" w14:textId="77777777" w:rsidR="00681E72" w:rsidRPr="003C4E20" w:rsidRDefault="00681E72" w:rsidP="00681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14:paraId="4164520F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3"/>
        <w:gridCol w:w="6003"/>
      </w:tblGrid>
      <w:tr w:rsidR="003C4E20" w:rsidRPr="003C4E20" w14:paraId="41C2DAAD" w14:textId="77777777" w:rsidTr="1BBEE06B">
        <w:tc>
          <w:tcPr>
            <w:tcW w:w="5000" w:type="pct"/>
            <w:gridSpan w:val="2"/>
            <w:shd w:val="clear" w:color="auto" w:fill="BDD6EE" w:themeFill="accent1" w:themeFillTint="66"/>
          </w:tcPr>
          <w:p w14:paraId="40ACE011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26" w:name="_Toc136497306"/>
            <w:bookmarkStart w:id="127" w:name="_Toc140856056"/>
            <w:bookmarkStart w:id="128" w:name="_Toc141982454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9.2.</w:t>
            </w:r>
            <w:bookmarkEnd w:id="126"/>
            <w:bookmarkEnd w:id="127"/>
            <w:bookmarkEnd w:id="128"/>
          </w:p>
          <w:p w14:paraId="431CC51E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29" w:name="_Toc140856057"/>
            <w:bookmarkStart w:id="130" w:name="_Toc141982455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Uspostaviti sustav satelitskih računa održivog turizma</w:t>
            </w:r>
            <w:bookmarkEnd w:id="129"/>
            <w:bookmarkEnd w:id="130"/>
          </w:p>
        </w:tc>
      </w:tr>
      <w:tr w:rsidR="008266CC" w:rsidRPr="003C4E20" w14:paraId="565713D4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6B4C0353" w14:textId="77777777" w:rsidR="008266CC" w:rsidRPr="003C4E20" w:rsidRDefault="008266CC" w:rsidP="008266CC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773E" w14:textId="77777777" w:rsidR="008266CC" w:rsidRDefault="00C719D3" w:rsidP="008266C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719D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 cilju donošenje kvalitetnih javnih politika na svim razinama te osiguravanja podloge za učinkovitije strateško planiranje uspostavit će se Sustav satelitskih računa održivog turizma na nacionalnoj i regionalnoj razini te na razini odabranih deset destinacija skladu s međunarodnim smjernicama ekonomsko-okolišnih računa (SEEA). </w:t>
            </w:r>
          </w:p>
          <w:p w14:paraId="51737B89" w14:textId="77777777" w:rsidR="00C719D3" w:rsidRPr="008266CC" w:rsidRDefault="00C719D3" w:rsidP="008266CC">
            <w:pPr>
              <w:jc w:val="both"/>
              <w:rPr>
                <w:sz w:val="20"/>
                <w:szCs w:val="20"/>
              </w:rPr>
            </w:pPr>
          </w:p>
        </w:tc>
      </w:tr>
      <w:tr w:rsidR="008266CC" w:rsidRPr="003C4E20" w14:paraId="755AAE1E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65A09CC8" w14:textId="77777777" w:rsidR="008266CC" w:rsidRPr="003C4E20" w:rsidRDefault="008266CC" w:rsidP="008266CC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CA8" w14:textId="77777777" w:rsidR="008279EE" w:rsidRDefault="00295DF9" w:rsidP="1BBEE06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Izrađen</w:t>
            </w:r>
            <w:r w:rsidR="0094305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3536B" w:rsidRPr="0083536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Regionalni satelitski račun održivog turizma za 2022. godinu</w:t>
            </w:r>
          </w:p>
          <w:p w14:paraId="193FE75E" w14:textId="77777777" w:rsidR="008279EE" w:rsidRDefault="008279EE" w:rsidP="1BBEE06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="007945F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– 1</w:t>
            </w:r>
          </w:p>
          <w:p w14:paraId="439BCEED" w14:textId="77777777" w:rsidR="008266CC" w:rsidRDefault="008279EE" w:rsidP="1BBEE06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  <w:r w:rsidR="007945F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295DF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0</w:t>
            </w:r>
          </w:p>
          <w:p w14:paraId="4B5E2267" w14:textId="77777777" w:rsidR="00295DF9" w:rsidRPr="008266CC" w:rsidRDefault="00295DF9" w:rsidP="1BBEE06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  <w:tr w:rsidR="003C4E20" w:rsidRPr="003C4E20" w14:paraId="76204928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32D6B9E6" w14:textId="77777777" w:rsidR="003C4E20" w:rsidRPr="0094305F" w:rsidRDefault="003C4E20" w:rsidP="003C4E20">
            <w:pPr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 w:rsidRPr="002912A3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9" w:type="pct"/>
          </w:tcPr>
          <w:p w14:paraId="72A66FEA" w14:textId="607D2FC0" w:rsidR="003C4E20" w:rsidRPr="003C4E20" w:rsidRDefault="00B158C6" w:rsidP="003C4E20">
            <w:pPr>
              <w:jc w:val="both"/>
              <w:rPr>
                <w:sz w:val="20"/>
                <w:szCs w:val="20"/>
              </w:rPr>
            </w:pPr>
            <w:r w:rsidRPr="00B158C6">
              <w:rPr>
                <w:sz w:val="20"/>
                <w:szCs w:val="20"/>
              </w:rPr>
              <w:t>152.023 ,00 EUR</w:t>
            </w:r>
          </w:p>
        </w:tc>
      </w:tr>
      <w:tr w:rsidR="003C4E20" w:rsidRPr="003C4E20" w14:paraId="23F1675F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4FA38C20" w14:textId="77777777" w:rsidR="003C4E20" w:rsidRPr="0094305F" w:rsidRDefault="003C4E20" w:rsidP="003C4E20">
            <w:pPr>
              <w:jc w:val="both"/>
              <w:rPr>
                <w:i/>
                <w:iCs/>
                <w:sz w:val="20"/>
                <w:szCs w:val="20"/>
                <w:highlight w:val="yellow"/>
              </w:rPr>
            </w:pPr>
            <w:r w:rsidRPr="002912A3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9" w:type="pct"/>
          </w:tcPr>
          <w:p w14:paraId="5043868F" w14:textId="77777777" w:rsidR="003C4E20" w:rsidRDefault="002A4DBD" w:rsidP="007B1657">
            <w:pPr>
              <w:ind w:left="1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B2340">
              <w:rPr>
                <w:sz w:val="20"/>
                <w:szCs w:val="20"/>
              </w:rPr>
              <w:t>roračun MZO</w:t>
            </w:r>
            <w:r w:rsidR="002772DC">
              <w:rPr>
                <w:sz w:val="20"/>
                <w:szCs w:val="20"/>
              </w:rPr>
              <w:t>M</w:t>
            </w:r>
            <w:r w:rsidR="00640730">
              <w:rPr>
                <w:sz w:val="20"/>
                <w:szCs w:val="20"/>
              </w:rPr>
              <w:t xml:space="preserve"> </w:t>
            </w:r>
          </w:p>
          <w:p w14:paraId="4DFE08B6" w14:textId="680B3F75" w:rsidR="00511590" w:rsidRDefault="002E6620" w:rsidP="007B1657">
            <w:pPr>
              <w:ind w:left="1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– </w:t>
            </w:r>
            <w:r w:rsidR="00511590">
              <w:rPr>
                <w:sz w:val="20"/>
                <w:szCs w:val="20"/>
              </w:rPr>
              <w:t>152.023,00 EUR</w:t>
            </w:r>
            <w:r w:rsidR="000246DA">
              <w:rPr>
                <w:sz w:val="20"/>
                <w:szCs w:val="20"/>
              </w:rPr>
              <w:t xml:space="preserve"> (izvor 581)</w:t>
            </w:r>
          </w:p>
          <w:p w14:paraId="25A116F2" w14:textId="109DA319" w:rsidR="00B158C6" w:rsidRDefault="002E6620" w:rsidP="007B1657">
            <w:pPr>
              <w:ind w:left="1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– </w:t>
            </w:r>
            <w:r w:rsidR="00B158C6">
              <w:rPr>
                <w:sz w:val="20"/>
                <w:szCs w:val="20"/>
              </w:rPr>
              <w:t>0,00 EUR</w:t>
            </w:r>
          </w:p>
          <w:p w14:paraId="2FF9F9D0" w14:textId="77777777" w:rsidR="00640730" w:rsidRPr="003C4E20" w:rsidRDefault="00640730" w:rsidP="00511590">
            <w:pPr>
              <w:ind w:left="17"/>
              <w:contextualSpacing/>
              <w:rPr>
                <w:sz w:val="20"/>
                <w:szCs w:val="20"/>
              </w:rPr>
            </w:pPr>
          </w:p>
        </w:tc>
      </w:tr>
      <w:tr w:rsidR="003C4E20" w:rsidRPr="003C4E20" w14:paraId="22B28430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7F1773EF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9" w:type="pct"/>
          </w:tcPr>
          <w:p w14:paraId="41C7A284" w14:textId="77777777" w:rsidR="003C4E20" w:rsidRPr="003C4E20" w:rsidRDefault="00763D5E" w:rsidP="00FD3C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MINTS</w:t>
            </w:r>
          </w:p>
        </w:tc>
      </w:tr>
      <w:tr w:rsidR="003C4E20" w:rsidRPr="003C4E20" w14:paraId="72145546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3585DDEF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9" w:type="pct"/>
          </w:tcPr>
          <w:p w14:paraId="6B9FF203" w14:textId="77777777" w:rsidR="003C4E20" w:rsidRPr="003C4E20" w:rsidRDefault="007D05DA" w:rsidP="003C4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MZO</w:t>
            </w:r>
            <w:r w:rsidR="002772D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, IZTZG</w:t>
            </w:r>
          </w:p>
        </w:tc>
      </w:tr>
      <w:tr w:rsidR="003C4E20" w:rsidRPr="003C4E20" w14:paraId="0164003E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111845C2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29" w:type="pct"/>
          </w:tcPr>
          <w:p w14:paraId="6B38E988" w14:textId="77777777" w:rsidR="003C4E20" w:rsidRPr="003C4E20" w:rsidRDefault="007D05DA" w:rsidP="003C4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</w:tbl>
    <w:p w14:paraId="746A0B7C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3"/>
        <w:gridCol w:w="6003"/>
      </w:tblGrid>
      <w:tr w:rsidR="003C4E20" w:rsidRPr="003C4E20" w14:paraId="1812422F" w14:textId="77777777" w:rsidTr="1BBEE06B">
        <w:tc>
          <w:tcPr>
            <w:tcW w:w="5000" w:type="pct"/>
            <w:gridSpan w:val="2"/>
            <w:shd w:val="clear" w:color="auto" w:fill="BDD6EE" w:themeFill="accent1" w:themeFillTint="66"/>
          </w:tcPr>
          <w:p w14:paraId="23478065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31" w:name="_Toc136497308"/>
            <w:bookmarkStart w:id="132" w:name="_Toc140856058"/>
            <w:bookmarkStart w:id="133" w:name="_Toc141982456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9.3.</w:t>
            </w:r>
            <w:bookmarkEnd w:id="131"/>
            <w:bookmarkEnd w:id="132"/>
            <w:bookmarkEnd w:id="133"/>
          </w:p>
          <w:p w14:paraId="09157ABC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34" w:name="_Toc140856059"/>
            <w:bookmarkStart w:id="135" w:name="_Toc141982457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Stvoriti preduvjete za učinkovito prikupljanje podataka</w:t>
            </w:r>
            <w:bookmarkEnd w:id="134"/>
            <w:bookmarkEnd w:id="135"/>
          </w:p>
        </w:tc>
      </w:tr>
      <w:tr w:rsidR="00587E72" w:rsidRPr="003C4E20" w14:paraId="708DD928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0F81CE48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565" w14:textId="77777777" w:rsidR="00587E72" w:rsidRDefault="00587E72" w:rsidP="00587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bi se osigurala učinkovita provedba javnih politika i upravljanje razvojem turizma prema održivosti ovom mjerom osigurat će se kvalitetno i pouzdano praćenje relevantnih podataka za turizam. To će podrazumijevati razvoj IT alata za prikupljanje podataka te će se omogućiti sustavna analiza i korištenje prikupljenih podataka za planiranje i upravljanje razvojem održivoga turizma.</w:t>
            </w:r>
          </w:p>
          <w:p w14:paraId="25E580E0" w14:textId="77777777" w:rsidR="00295DF9" w:rsidRPr="003C4E20" w:rsidRDefault="00295DF9" w:rsidP="00587E72">
            <w:pPr>
              <w:jc w:val="both"/>
              <w:rPr>
                <w:sz w:val="20"/>
                <w:szCs w:val="20"/>
              </w:rPr>
            </w:pPr>
          </w:p>
        </w:tc>
      </w:tr>
      <w:tr w:rsidR="00587E72" w:rsidRPr="003C4E20" w14:paraId="747AE79D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0CD0C4D4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EB4" w14:textId="77777777" w:rsidR="00587E72" w:rsidRPr="00587E72" w:rsidRDefault="00587E72" w:rsidP="00587E72">
            <w:pPr>
              <w:jc w:val="both"/>
              <w:rPr>
                <w:sz w:val="20"/>
                <w:szCs w:val="20"/>
              </w:rPr>
            </w:pPr>
            <w:r w:rsidRPr="00587E72">
              <w:rPr>
                <w:sz w:val="20"/>
                <w:szCs w:val="20"/>
              </w:rPr>
              <w:t>Uspostavljen IT alat:</w:t>
            </w:r>
          </w:p>
          <w:p w14:paraId="7EA4473D" w14:textId="77777777" w:rsidR="00587E72" w:rsidRPr="0094305F" w:rsidRDefault="00587E72" w:rsidP="0094305F">
            <w:pPr>
              <w:jc w:val="both"/>
              <w:rPr>
                <w:sz w:val="20"/>
                <w:szCs w:val="20"/>
              </w:rPr>
            </w:pPr>
            <w:r w:rsidRPr="0094305F">
              <w:rPr>
                <w:sz w:val="20"/>
                <w:szCs w:val="20"/>
              </w:rPr>
              <w:t>2026. – 1</w:t>
            </w:r>
          </w:p>
          <w:p w14:paraId="7F4DE5EB" w14:textId="77777777" w:rsidR="00587E72" w:rsidRDefault="00587E72" w:rsidP="0094305F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94305F">
              <w:rPr>
                <w:rFonts w:cstheme="minorHAnsi"/>
                <w:color w:val="000000"/>
                <w:sz w:val="20"/>
                <w:szCs w:val="20"/>
              </w:rPr>
              <w:t>2027. – 0</w:t>
            </w:r>
          </w:p>
          <w:p w14:paraId="6A7A64D3" w14:textId="77777777" w:rsidR="00295DF9" w:rsidRPr="0094305F" w:rsidRDefault="00295DF9" w:rsidP="0094305F">
            <w:pPr>
              <w:jc w:val="both"/>
              <w:rPr>
                <w:sz w:val="20"/>
                <w:szCs w:val="20"/>
              </w:rPr>
            </w:pPr>
          </w:p>
        </w:tc>
      </w:tr>
      <w:tr w:rsidR="00587E72" w:rsidRPr="003C4E20" w14:paraId="2A191377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2A1460A2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DE39" w14:textId="77777777" w:rsidR="00587E72" w:rsidRPr="003C4E20" w:rsidRDefault="009A1826" w:rsidP="00291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825.000,00</w:t>
            </w:r>
            <w:r w:rsidR="002912A3">
              <w:rPr>
                <w:sz w:val="20"/>
                <w:szCs w:val="20"/>
              </w:rPr>
              <w:t xml:space="preserve"> </w:t>
            </w:r>
            <w:r w:rsidR="002912A3" w:rsidRPr="1BBEE06B">
              <w:rPr>
                <w:sz w:val="20"/>
                <w:szCs w:val="20"/>
              </w:rPr>
              <w:t>EUR</w:t>
            </w:r>
          </w:p>
        </w:tc>
      </w:tr>
      <w:tr w:rsidR="00587E72" w:rsidRPr="003C4E20" w14:paraId="7304A81C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1F0C7F4B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2987" w14:textId="77777777" w:rsidR="0094305F" w:rsidRPr="0094305F" w:rsidRDefault="0094305F" w:rsidP="0094305F">
            <w:pPr>
              <w:jc w:val="both"/>
              <w:rPr>
                <w:sz w:val="20"/>
                <w:szCs w:val="20"/>
              </w:rPr>
            </w:pPr>
            <w:r w:rsidRPr="0094305F">
              <w:rPr>
                <w:sz w:val="20"/>
                <w:szCs w:val="20"/>
              </w:rPr>
              <w:t>A916035 Razvoj održivog, inovativnog i otpornog turizma</w:t>
            </w:r>
          </w:p>
          <w:p w14:paraId="5F51EC3E" w14:textId="77777777" w:rsidR="00587E72" w:rsidRDefault="0094305F" w:rsidP="0094305F">
            <w:pPr>
              <w:contextualSpacing/>
              <w:jc w:val="both"/>
              <w:rPr>
                <w:sz w:val="20"/>
                <w:szCs w:val="20"/>
              </w:rPr>
            </w:pPr>
            <w:r w:rsidRPr="0094305F">
              <w:rPr>
                <w:sz w:val="20"/>
                <w:szCs w:val="20"/>
              </w:rPr>
              <w:t xml:space="preserve">A916035.06 - NPOO 2.3. C2.3.R3-I15 Uspostava aplikativnih rješenja u turizmu s ciljem administrativnoga rasterećenja poduzetnika i transformacije modela turizma ka održivosti </w:t>
            </w:r>
          </w:p>
          <w:p w14:paraId="64E0FC4F" w14:textId="7C0CFB72" w:rsidR="0094305F" w:rsidRDefault="2A53272A" w:rsidP="0094305F">
            <w:pPr>
              <w:contextualSpacing/>
              <w:jc w:val="both"/>
              <w:rPr>
                <w:sz w:val="20"/>
                <w:szCs w:val="20"/>
              </w:rPr>
            </w:pPr>
            <w:r w:rsidRPr="1BBEE06B">
              <w:rPr>
                <w:sz w:val="20"/>
                <w:szCs w:val="20"/>
              </w:rPr>
              <w:t>2026</w:t>
            </w:r>
            <w:r w:rsidR="00295DF9">
              <w:rPr>
                <w:sz w:val="20"/>
                <w:szCs w:val="20"/>
              </w:rPr>
              <w:t>.</w:t>
            </w:r>
            <w:r w:rsidRPr="1BBEE06B">
              <w:rPr>
                <w:sz w:val="20"/>
                <w:szCs w:val="20"/>
              </w:rPr>
              <w:t xml:space="preserve"> </w:t>
            </w:r>
            <w:r w:rsidR="23EC3BBB" w:rsidRPr="1BBEE06B">
              <w:rPr>
                <w:sz w:val="20"/>
                <w:szCs w:val="20"/>
              </w:rPr>
              <w:t>–</w:t>
            </w:r>
            <w:r w:rsidR="002912A3">
              <w:rPr>
                <w:sz w:val="20"/>
                <w:szCs w:val="20"/>
              </w:rPr>
              <w:t xml:space="preserve"> </w:t>
            </w:r>
            <w:r w:rsidR="009A1826">
              <w:rPr>
                <w:sz w:val="20"/>
                <w:szCs w:val="20"/>
              </w:rPr>
              <w:t>825.000,00</w:t>
            </w:r>
            <w:r w:rsidR="23EC3BBB" w:rsidRPr="1BBEE06B">
              <w:rPr>
                <w:sz w:val="20"/>
                <w:szCs w:val="20"/>
              </w:rPr>
              <w:t xml:space="preserve"> EUR</w:t>
            </w:r>
            <w:r w:rsidR="000246DA">
              <w:rPr>
                <w:sz w:val="20"/>
                <w:szCs w:val="20"/>
              </w:rPr>
              <w:t xml:space="preserve"> (izvor 581)</w:t>
            </w:r>
          </w:p>
          <w:p w14:paraId="263C5138" w14:textId="77777777" w:rsidR="00295DF9" w:rsidRPr="003C4E20" w:rsidRDefault="00640730" w:rsidP="0094305F">
            <w:pPr>
              <w:contextualSpacing/>
              <w:jc w:val="both"/>
              <w:rPr>
                <w:sz w:val="20"/>
                <w:szCs w:val="20"/>
              </w:rPr>
            </w:pPr>
            <w:r w:rsidRPr="00640730">
              <w:rPr>
                <w:sz w:val="20"/>
                <w:szCs w:val="20"/>
              </w:rPr>
              <w:t>2027. – 0</w:t>
            </w:r>
          </w:p>
        </w:tc>
      </w:tr>
      <w:tr w:rsidR="00587E72" w:rsidRPr="003C4E20" w14:paraId="7F885312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14B2210D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256" w14:textId="77777777" w:rsidR="00587E72" w:rsidRPr="003C4E20" w:rsidRDefault="006B43CE" w:rsidP="00587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MINTS</w:t>
            </w:r>
          </w:p>
        </w:tc>
      </w:tr>
      <w:tr w:rsidR="00587E72" w:rsidRPr="003C4E20" w14:paraId="6619E0BE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2BE7E4D5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8CA0" w14:textId="77777777" w:rsidR="00587E72" w:rsidRPr="003C4E20" w:rsidRDefault="00587E72" w:rsidP="00587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587E72" w:rsidRPr="003C4E20" w14:paraId="42586B35" w14:textId="77777777" w:rsidTr="1BBEE06B">
        <w:tc>
          <w:tcPr>
            <w:tcW w:w="1671" w:type="pct"/>
            <w:shd w:val="clear" w:color="auto" w:fill="DEEAF6" w:themeFill="accent1" w:themeFillTint="33"/>
          </w:tcPr>
          <w:p w14:paraId="09CFB45D" w14:textId="77777777" w:rsidR="00587E72" w:rsidRPr="003C4E20" w:rsidRDefault="00587E72" w:rsidP="00587E72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760" w14:textId="77777777" w:rsidR="00587E72" w:rsidRPr="003C4E20" w:rsidRDefault="00587E72" w:rsidP="00587E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</w:tbl>
    <w:p w14:paraId="5515A5F9" w14:textId="7819586F" w:rsidR="003C4E20" w:rsidRDefault="003C4E20" w:rsidP="003C4E20">
      <w:pPr>
        <w:rPr>
          <w:rFonts w:ascii="Times New Roman" w:hAnsi="Times New Roman" w:cs="Times New Roman"/>
        </w:rPr>
      </w:pPr>
    </w:p>
    <w:p w14:paraId="7F629DF9" w14:textId="77777777" w:rsidR="005276E2" w:rsidRPr="003C4E20" w:rsidRDefault="005276E2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3C4E20" w:rsidRPr="003C4E20" w14:paraId="3DAE7DED" w14:textId="77777777" w:rsidTr="003C4E20">
        <w:tc>
          <w:tcPr>
            <w:tcW w:w="5000" w:type="pct"/>
            <w:gridSpan w:val="3"/>
            <w:shd w:val="clear" w:color="auto" w:fill="002060"/>
          </w:tcPr>
          <w:p w14:paraId="3A8D21E4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136" w:name="_Toc136497310"/>
            <w:bookmarkStart w:id="137" w:name="_Toc140856060"/>
            <w:bookmarkStart w:id="138" w:name="_Toc141982458"/>
            <w:r w:rsidRPr="003C4E20">
              <w:rPr>
                <w:rFonts w:eastAsiaTheme="majorEastAsia"/>
                <w:color w:val="2E74B5" w:themeColor="accent1" w:themeShade="BF"/>
                <w:sz w:val="28"/>
                <w:szCs w:val="32"/>
              </w:rPr>
              <w:t>Posebni cilj 10.</w:t>
            </w:r>
            <w:bookmarkEnd w:id="136"/>
            <w:bookmarkEnd w:id="137"/>
            <w:bookmarkEnd w:id="138"/>
          </w:p>
          <w:p w14:paraId="5359F8E6" w14:textId="77777777" w:rsidR="003C4E20" w:rsidRPr="003C4E20" w:rsidRDefault="003C4E20" w:rsidP="003C4E20">
            <w:pPr>
              <w:keepNext/>
              <w:keepLines/>
              <w:spacing w:before="240"/>
              <w:outlineLvl w:val="0"/>
              <w:rPr>
                <w:rFonts w:eastAsiaTheme="majorEastAsia"/>
                <w:color w:val="2E74B5" w:themeColor="accent1" w:themeShade="BF"/>
                <w:sz w:val="28"/>
                <w:szCs w:val="32"/>
              </w:rPr>
            </w:pPr>
            <w:bookmarkStart w:id="139" w:name="_Toc140856061"/>
            <w:bookmarkStart w:id="140" w:name="_Toc141982459"/>
            <w:r w:rsidRPr="003C4E20">
              <w:rPr>
                <w:rFonts w:eastAsiaTheme="majorEastAsia"/>
                <w:b/>
                <w:bCs/>
                <w:color w:val="2E74B5" w:themeColor="accent1" w:themeShade="BF"/>
                <w:sz w:val="28"/>
                <w:szCs w:val="32"/>
              </w:rPr>
              <w:t>ODGOVORITI NA TRENDOVE U RAZVOJU TURISTIČKIH DESTINACIJA</w:t>
            </w:r>
            <w:bookmarkEnd w:id="139"/>
            <w:bookmarkEnd w:id="140"/>
          </w:p>
        </w:tc>
      </w:tr>
      <w:tr w:rsidR="003C4E20" w:rsidRPr="003C4E20" w14:paraId="17668043" w14:textId="77777777" w:rsidTr="003C4E20">
        <w:tc>
          <w:tcPr>
            <w:tcW w:w="1666" w:type="pct"/>
            <w:shd w:val="clear" w:color="auto" w:fill="DEEAF6" w:themeFill="accent1" w:themeFillTint="33"/>
          </w:tcPr>
          <w:p w14:paraId="6A21B5ED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ishoda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2A4D3438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Početna vrijednost pokazatelja ishoda 2019.</w:t>
            </w:r>
          </w:p>
        </w:tc>
        <w:tc>
          <w:tcPr>
            <w:tcW w:w="1667" w:type="pct"/>
            <w:shd w:val="clear" w:color="auto" w:fill="DEEAF6" w:themeFill="accent1" w:themeFillTint="33"/>
          </w:tcPr>
          <w:p w14:paraId="6ED90A21" w14:textId="77777777" w:rsidR="003C4E20" w:rsidRPr="003C4E20" w:rsidRDefault="003C4E20" w:rsidP="003C4E20">
            <w:pPr>
              <w:jc w:val="center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Ciljana vrijednost pokazatelja ishoda 2027.*</w:t>
            </w:r>
          </w:p>
        </w:tc>
      </w:tr>
      <w:tr w:rsidR="003C4E20" w:rsidRPr="003C4E20" w14:paraId="577F89C0" w14:textId="77777777" w:rsidTr="003C4E20">
        <w:tc>
          <w:tcPr>
            <w:tcW w:w="1666" w:type="pct"/>
            <w:vAlign w:val="center"/>
          </w:tcPr>
          <w:p w14:paraId="52534FF3" w14:textId="77777777" w:rsidR="003C4E20" w:rsidRPr="003C4E20" w:rsidRDefault="004A1C6D" w:rsidP="003C4E20">
            <w:pPr>
              <w:jc w:val="center"/>
              <w:rPr>
                <w:sz w:val="20"/>
                <w:szCs w:val="20"/>
              </w:rPr>
            </w:pPr>
            <w:r w:rsidRPr="004A1C6D">
              <w:rPr>
                <w:sz w:val="20"/>
                <w:szCs w:val="20"/>
              </w:rPr>
              <w:t>OI.02.8.67</w:t>
            </w:r>
            <w:r>
              <w:rPr>
                <w:sz w:val="20"/>
                <w:szCs w:val="20"/>
              </w:rPr>
              <w:t xml:space="preserve"> </w:t>
            </w:r>
            <w:r w:rsidR="003C4E20" w:rsidRPr="003C4E20">
              <w:rPr>
                <w:sz w:val="20"/>
                <w:szCs w:val="20"/>
              </w:rPr>
              <w:t xml:space="preserve">Broj uključenih gradova (destinacija) u </w:t>
            </w:r>
            <w:r w:rsidR="003C4E20" w:rsidRPr="003C4E20">
              <w:rPr>
                <w:i/>
                <w:iCs/>
                <w:sz w:val="20"/>
                <w:szCs w:val="20"/>
              </w:rPr>
              <w:t>Smart cities marketplaces</w:t>
            </w:r>
            <w:r w:rsidR="003C4E20" w:rsidRPr="003C4E20">
              <w:rPr>
                <w:sz w:val="20"/>
                <w:szCs w:val="20"/>
              </w:rPr>
              <w:t>**</w:t>
            </w:r>
          </w:p>
        </w:tc>
        <w:tc>
          <w:tcPr>
            <w:tcW w:w="1667" w:type="pct"/>
            <w:vAlign w:val="center"/>
          </w:tcPr>
          <w:p w14:paraId="612EED4D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2</w:t>
            </w:r>
          </w:p>
        </w:tc>
        <w:tc>
          <w:tcPr>
            <w:tcW w:w="1667" w:type="pct"/>
            <w:vAlign w:val="center"/>
          </w:tcPr>
          <w:p w14:paraId="60527C83" w14:textId="77777777" w:rsidR="003C4E20" w:rsidRPr="003C4E20" w:rsidRDefault="003C4E20" w:rsidP="003C4E20">
            <w:pPr>
              <w:jc w:val="center"/>
              <w:rPr>
                <w:sz w:val="20"/>
                <w:szCs w:val="20"/>
              </w:rPr>
            </w:pPr>
            <w:r w:rsidRPr="003C4E20">
              <w:rPr>
                <w:sz w:val="20"/>
                <w:szCs w:val="20"/>
              </w:rPr>
              <w:t>20</w:t>
            </w:r>
          </w:p>
        </w:tc>
      </w:tr>
      <w:tr w:rsidR="003C4E20" w:rsidRPr="003C4E20" w14:paraId="3B8AEADA" w14:textId="77777777" w:rsidTr="003C4E20">
        <w:tc>
          <w:tcPr>
            <w:tcW w:w="5000" w:type="pct"/>
            <w:gridSpan w:val="3"/>
            <w:vAlign w:val="center"/>
          </w:tcPr>
          <w:p w14:paraId="52D4749F" w14:textId="77777777" w:rsidR="003C4E20" w:rsidRPr="003C4E20" w:rsidRDefault="003C4E20" w:rsidP="003C4E20">
            <w:pPr>
              <w:jc w:val="both"/>
              <w:rPr>
                <w:sz w:val="20"/>
                <w:szCs w:val="20"/>
              </w:rPr>
            </w:pPr>
          </w:p>
        </w:tc>
      </w:tr>
    </w:tbl>
    <w:p w14:paraId="5B608708" w14:textId="77777777" w:rsidR="003C4E20" w:rsidRPr="003C4E20" w:rsidRDefault="003C4E20" w:rsidP="003C4E20">
      <w:pPr>
        <w:spacing w:after="0"/>
        <w:rPr>
          <w:rFonts w:ascii="Times New Roman" w:hAnsi="Times New Roman" w:cs="Times New Roman"/>
          <w:i/>
          <w:sz w:val="16"/>
          <w:szCs w:val="18"/>
        </w:rPr>
      </w:pPr>
      <w:r w:rsidRPr="003C4E20">
        <w:rPr>
          <w:rFonts w:ascii="Times New Roman" w:hAnsi="Times New Roman" w:cs="Times New Roman"/>
          <w:i/>
          <w:sz w:val="16"/>
          <w:szCs w:val="18"/>
        </w:rPr>
        <w:t>* Sukladno Nacionalnom planu razvoja održivog turizma do 2027.</w:t>
      </w:r>
    </w:p>
    <w:p w14:paraId="212935F2" w14:textId="77777777" w:rsidR="003C4E20" w:rsidRPr="003C4E20" w:rsidRDefault="003C4E20" w:rsidP="003C4E20">
      <w:pPr>
        <w:rPr>
          <w:rFonts w:ascii="Times New Roman" w:hAnsi="Times New Roman" w:cs="Times New Roman"/>
          <w:i/>
          <w:sz w:val="16"/>
          <w:szCs w:val="18"/>
        </w:rPr>
      </w:pPr>
      <w:r w:rsidRPr="003C4E20">
        <w:rPr>
          <w:rFonts w:ascii="Times New Roman" w:hAnsi="Times New Roman" w:cs="Times New Roman"/>
          <w:i/>
          <w:sz w:val="16"/>
          <w:szCs w:val="18"/>
        </w:rPr>
        <w:t xml:space="preserve">**Napomena: Smart Cities Marketplace, Rijeka (Fellow city, </w:t>
      </w:r>
      <w:hyperlink r:id="rId11" w:history="1">
        <w:r w:rsidRPr="003C4E20">
          <w:rPr>
            <w:rFonts w:ascii="Times New Roman" w:hAnsi="Times New Roman" w:cs="Times New Roman"/>
            <w:i/>
            <w:color w:val="0563C1" w:themeColor="hyperlink"/>
            <w:sz w:val="16"/>
            <w:szCs w:val="18"/>
            <w:u w:val="single"/>
          </w:rPr>
          <w:t>https://smart-cities-marketplace.ec.europa.eu/projects-and-sites/cities?f%5B0%5D=fellow_city%3A1&amp;page=7</w:t>
        </w:r>
      </w:hyperlink>
      <w:r w:rsidRPr="003C4E20">
        <w:rPr>
          <w:rFonts w:ascii="Times New Roman" w:hAnsi="Times New Roman" w:cs="Times New Roman"/>
          <w:i/>
          <w:sz w:val="16"/>
          <w:szCs w:val="18"/>
        </w:rPr>
        <w:t xml:space="preserve">); Hvar („1 Demo site“ – Location of project site </w:t>
      </w:r>
      <w:hyperlink r:id="rId12" w:history="1">
        <w:r w:rsidRPr="003C4E20">
          <w:rPr>
            <w:rFonts w:ascii="Times New Roman" w:hAnsi="Times New Roman" w:cs="Times New Roman"/>
            <w:i/>
            <w:color w:val="0563C1" w:themeColor="hyperlink"/>
            <w:sz w:val="16"/>
            <w:szCs w:val="18"/>
            <w:u w:val="single"/>
          </w:rPr>
          <w:t>https://smart-cities-marketplace.ec.europa.eu/city/hvar</w:t>
        </w:r>
      </w:hyperlink>
      <w:r w:rsidRPr="003C4E20">
        <w:rPr>
          <w:rFonts w:ascii="Times New Roman" w:hAnsi="Times New Roman" w:cs="Times New Roman"/>
          <w:i/>
          <w:sz w:val="16"/>
          <w:szCs w:val="18"/>
        </w:rPr>
        <w:t>)</w:t>
      </w:r>
    </w:p>
    <w:p w14:paraId="450737F1" w14:textId="77777777" w:rsidR="003C4E20" w:rsidRPr="003C4E20" w:rsidRDefault="003C4E20" w:rsidP="003C4E20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7"/>
        <w:gridCol w:w="5999"/>
      </w:tblGrid>
      <w:tr w:rsidR="003C4E20" w:rsidRPr="003C4E20" w14:paraId="6A019456" w14:textId="77777777" w:rsidTr="003C4E20">
        <w:tc>
          <w:tcPr>
            <w:tcW w:w="5000" w:type="pct"/>
            <w:gridSpan w:val="2"/>
            <w:shd w:val="clear" w:color="auto" w:fill="BDD6EE" w:themeFill="accent1" w:themeFillTint="66"/>
          </w:tcPr>
          <w:p w14:paraId="40F9E6C7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41" w:name="_Toc136497314"/>
            <w:bookmarkStart w:id="142" w:name="_Toc140856064"/>
            <w:bookmarkStart w:id="143" w:name="_Toc141982462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Mjera 10.</w:t>
            </w:r>
            <w:r w:rsidR="00DF1063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1</w:t>
            </w:r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.</w:t>
            </w:r>
            <w:bookmarkEnd w:id="141"/>
            <w:bookmarkEnd w:id="142"/>
            <w:bookmarkEnd w:id="143"/>
          </w:p>
          <w:p w14:paraId="4E172C0C" w14:textId="77777777" w:rsidR="003C4E20" w:rsidRPr="003C4E20" w:rsidRDefault="003C4E20" w:rsidP="003C4E20">
            <w:pPr>
              <w:keepNext/>
              <w:keepLines/>
              <w:spacing w:before="40"/>
              <w:outlineLvl w:val="1"/>
              <w:rPr>
                <w:rFonts w:eastAsiaTheme="majorEastAsia"/>
                <w:color w:val="2E74B5" w:themeColor="accent1" w:themeShade="BF"/>
                <w:sz w:val="26"/>
                <w:szCs w:val="26"/>
              </w:rPr>
            </w:pPr>
            <w:bookmarkStart w:id="144" w:name="_Toc140856065"/>
            <w:bookmarkStart w:id="145" w:name="_Toc141982463"/>
            <w:r w:rsidRPr="003C4E20">
              <w:rPr>
                <w:rFonts w:eastAsiaTheme="majorEastAsia"/>
                <w:color w:val="2E74B5" w:themeColor="accent1" w:themeShade="BF"/>
                <w:sz w:val="26"/>
                <w:szCs w:val="26"/>
              </w:rPr>
              <w:t>Očuvati percepciju Hrvatske kao sigurne destinacije</w:t>
            </w:r>
            <w:bookmarkEnd w:id="144"/>
            <w:bookmarkEnd w:id="145"/>
          </w:p>
        </w:tc>
      </w:tr>
      <w:tr w:rsidR="0080596C" w:rsidRPr="003C4E20" w14:paraId="31909C12" w14:textId="77777777" w:rsidTr="003553F8">
        <w:trPr>
          <w:trHeight w:val="920"/>
        </w:trPr>
        <w:tc>
          <w:tcPr>
            <w:tcW w:w="1673" w:type="pct"/>
            <w:shd w:val="clear" w:color="auto" w:fill="DEEAF6" w:themeFill="accent1" w:themeFillTint="33"/>
          </w:tcPr>
          <w:p w14:paraId="59A48820" w14:textId="77777777" w:rsidR="0080596C" w:rsidRPr="003C4E20" w:rsidRDefault="0080596C" w:rsidP="0080596C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 xml:space="preserve">Svrha provedbe mjere 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0826" w14:textId="03EFAE64" w:rsidR="0080596C" w:rsidRDefault="0080596C" w:rsidP="008059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Sigurnost je ključni element komparativne prednosti destinacije na međunarodnom turističkom tržištu. Podupirat će se aktivnosti koje uključuju nastavak projekta MUP-a „Sigurna turistička destinacija“ te projekata prevencija nesreća te zaš</w:t>
            </w:r>
            <w:r w:rsidR="00115E5A">
              <w:rPr>
                <w:sz w:val="20"/>
                <w:szCs w:val="20"/>
              </w:rPr>
              <w:t>tite i spašavanja</w:t>
            </w:r>
            <w:r w:rsidR="00A11626">
              <w:rPr>
                <w:sz w:val="20"/>
                <w:szCs w:val="20"/>
              </w:rPr>
              <w:t xml:space="preserve"> u suradnji s</w:t>
            </w:r>
            <w:r>
              <w:rPr>
                <w:sz w:val="20"/>
                <w:szCs w:val="20"/>
              </w:rPr>
              <w:t xml:space="preserve"> HGSS-om. Osiguravanjem dodatnih timova medicinske pomoći te pravodobnim informiranjem javnosti i upravljanjem kriznim situacijama jača se koordinacija i spremnost odgovora na različite sigurnosne izazove</w:t>
            </w:r>
            <w:r w:rsidR="00295DF9">
              <w:rPr>
                <w:sz w:val="20"/>
                <w:szCs w:val="20"/>
              </w:rPr>
              <w:t>.</w:t>
            </w:r>
          </w:p>
          <w:p w14:paraId="60D04915" w14:textId="77777777" w:rsidR="00295DF9" w:rsidRPr="003C4E20" w:rsidRDefault="00295DF9" w:rsidP="0080596C">
            <w:pPr>
              <w:jc w:val="both"/>
              <w:rPr>
                <w:sz w:val="20"/>
                <w:szCs w:val="20"/>
              </w:rPr>
            </w:pPr>
          </w:p>
        </w:tc>
      </w:tr>
      <w:tr w:rsidR="0080596C" w:rsidRPr="003C4E20" w14:paraId="17CBD823" w14:textId="77777777" w:rsidTr="003553F8">
        <w:tc>
          <w:tcPr>
            <w:tcW w:w="1673" w:type="pct"/>
            <w:shd w:val="clear" w:color="auto" w:fill="DEEAF6" w:themeFill="accent1" w:themeFillTint="33"/>
          </w:tcPr>
          <w:p w14:paraId="13C03888" w14:textId="77777777" w:rsidR="0080596C" w:rsidRPr="003C4E20" w:rsidRDefault="0080596C" w:rsidP="0080596C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Pokazatelj rezultata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A7" w14:textId="77777777" w:rsidR="0080596C" w:rsidRDefault="0080596C" w:rsidP="00805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sufinanciranih dodatnih timova medicinske pomoći</w:t>
            </w:r>
          </w:p>
          <w:p w14:paraId="134C41D2" w14:textId="77777777" w:rsidR="0080596C" w:rsidRDefault="0080596C" w:rsidP="00571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</w:rPr>
              <w:t>7 županija</w:t>
            </w:r>
          </w:p>
          <w:p w14:paraId="6F85BDE6" w14:textId="77777777" w:rsidR="0080596C" w:rsidRDefault="0080596C" w:rsidP="00571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</w:rPr>
              <w:t>7 županija</w:t>
            </w:r>
          </w:p>
          <w:p w14:paraId="78D30BA0" w14:textId="77777777" w:rsidR="0080596C" w:rsidRDefault="0080596C" w:rsidP="005718DB">
            <w:pPr>
              <w:rPr>
                <w:sz w:val="20"/>
                <w:szCs w:val="20"/>
              </w:rPr>
            </w:pPr>
          </w:p>
          <w:p w14:paraId="5371E8B1" w14:textId="77777777" w:rsidR="0080596C" w:rsidRDefault="0080596C" w:rsidP="00805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ugovora s HGSS-om</w:t>
            </w:r>
          </w:p>
          <w:p w14:paraId="53F8B9F9" w14:textId="77777777" w:rsidR="0080596C" w:rsidRDefault="0080596C" w:rsidP="00571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  <w:p w14:paraId="08035FF9" w14:textId="77777777" w:rsidR="0080596C" w:rsidRDefault="0080596C" w:rsidP="00571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2027. </w:t>
            </w:r>
            <w:r w:rsidR="007945FE" w:rsidRPr="00331A0F">
              <w:rPr>
                <w:rFonts w:eastAsia="Times New Roman" w:cs="Calibri"/>
                <w:sz w:val="20"/>
                <w:szCs w:val="20"/>
                <w:lang w:eastAsia="hr-HR"/>
              </w:rPr>
              <w:t>–</w:t>
            </w:r>
            <w:r w:rsidR="007945FE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  <w:p w14:paraId="0485971F" w14:textId="77777777" w:rsidR="0080596C" w:rsidRDefault="0080596C" w:rsidP="005718DB">
            <w:pPr>
              <w:rPr>
                <w:sz w:val="20"/>
                <w:szCs w:val="20"/>
              </w:rPr>
            </w:pPr>
          </w:p>
          <w:p w14:paraId="14033491" w14:textId="77777777" w:rsidR="0080596C" w:rsidRDefault="0080596C" w:rsidP="00805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odluka o dodjeli sredstava za povećanje sigurnosti boravka turista u destinaciji:</w:t>
            </w:r>
          </w:p>
          <w:p w14:paraId="5A0449E8" w14:textId="77777777" w:rsidR="0080596C" w:rsidRDefault="0080596C" w:rsidP="00571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 – 1</w:t>
            </w:r>
          </w:p>
          <w:p w14:paraId="71944210" w14:textId="77777777" w:rsidR="0080596C" w:rsidRDefault="0080596C" w:rsidP="00571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2027. – 1</w:t>
            </w:r>
          </w:p>
          <w:p w14:paraId="5FB75885" w14:textId="77777777" w:rsidR="00295DF9" w:rsidRPr="003C4E20" w:rsidRDefault="00295DF9" w:rsidP="005718DB">
            <w:pPr>
              <w:rPr>
                <w:sz w:val="20"/>
                <w:szCs w:val="20"/>
              </w:rPr>
            </w:pPr>
          </w:p>
        </w:tc>
      </w:tr>
      <w:tr w:rsidR="0080596C" w:rsidRPr="003C4E20" w14:paraId="5BA37D45" w14:textId="77777777" w:rsidTr="003553F8">
        <w:tc>
          <w:tcPr>
            <w:tcW w:w="1673" w:type="pct"/>
            <w:shd w:val="clear" w:color="auto" w:fill="DEEAF6" w:themeFill="accent1" w:themeFillTint="33"/>
          </w:tcPr>
          <w:p w14:paraId="022F66D3" w14:textId="77777777" w:rsidR="0080596C" w:rsidRPr="003C4E20" w:rsidRDefault="0080596C" w:rsidP="0080596C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Ukupan procijenjeni trošak provedbe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14A" w14:textId="6FDC4508" w:rsidR="0080596C" w:rsidRPr="003C4E20" w:rsidRDefault="0080596C" w:rsidP="008059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1.710.000</w:t>
            </w:r>
            <w:r w:rsidR="00115E5A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EUR</w:t>
            </w:r>
          </w:p>
        </w:tc>
      </w:tr>
      <w:tr w:rsidR="0080596C" w:rsidRPr="003C4E20" w14:paraId="755BEE87" w14:textId="77777777" w:rsidTr="003553F8">
        <w:tc>
          <w:tcPr>
            <w:tcW w:w="1673" w:type="pct"/>
            <w:shd w:val="clear" w:color="auto" w:fill="DEEAF6" w:themeFill="accent1" w:themeFillTint="33"/>
          </w:tcPr>
          <w:p w14:paraId="2A099483" w14:textId="77777777" w:rsidR="0080596C" w:rsidRPr="003C4E20" w:rsidRDefault="0080596C" w:rsidP="0080596C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Izvor financiranja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3444" w14:textId="77777777" w:rsidR="0080596C" w:rsidRDefault="0080596C" w:rsidP="005718D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A819027 Poticaj za povećanje sigurnosti turista</w:t>
            </w:r>
          </w:p>
          <w:p w14:paraId="4648E3E7" w14:textId="77777777" w:rsidR="005718DB" w:rsidRPr="003C4E20" w:rsidRDefault="005718DB" w:rsidP="005718D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2026. – 2027 – 855.000,00 * 2= 1.710.000,00</w:t>
            </w:r>
            <w:r w:rsidR="000246DA">
              <w:rPr>
                <w:sz w:val="20"/>
                <w:szCs w:val="20"/>
              </w:rPr>
              <w:t xml:space="preserve"> (izvor 11)</w:t>
            </w:r>
          </w:p>
        </w:tc>
      </w:tr>
      <w:tr w:rsidR="0080596C" w:rsidRPr="003C4E20" w14:paraId="4B8464A7" w14:textId="77777777" w:rsidTr="003553F8">
        <w:tc>
          <w:tcPr>
            <w:tcW w:w="1673" w:type="pct"/>
            <w:shd w:val="clear" w:color="auto" w:fill="DEEAF6" w:themeFill="accent1" w:themeFillTint="33"/>
          </w:tcPr>
          <w:p w14:paraId="62DABA89" w14:textId="77777777" w:rsidR="0080596C" w:rsidRPr="003C4E20" w:rsidRDefault="0080596C" w:rsidP="0080596C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Nositelj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FF98" w14:textId="77777777" w:rsidR="0080596C" w:rsidRPr="003C4E20" w:rsidRDefault="0080596C" w:rsidP="00A03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MINTS</w:t>
            </w:r>
          </w:p>
        </w:tc>
      </w:tr>
      <w:tr w:rsidR="0080596C" w:rsidRPr="003C4E20" w14:paraId="688463E0" w14:textId="77777777" w:rsidTr="003553F8">
        <w:tc>
          <w:tcPr>
            <w:tcW w:w="1673" w:type="pct"/>
            <w:shd w:val="clear" w:color="auto" w:fill="DEEAF6" w:themeFill="accent1" w:themeFillTint="33"/>
          </w:tcPr>
          <w:p w14:paraId="31162D04" w14:textId="77777777" w:rsidR="0080596C" w:rsidRPr="003C4E20" w:rsidRDefault="0080596C" w:rsidP="0080596C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Suradnici u provedbi</w:t>
            </w:r>
          </w:p>
        </w:tc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BDD5" w14:textId="77777777" w:rsidR="0080596C" w:rsidRPr="003C4E20" w:rsidRDefault="0080596C" w:rsidP="008059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županije, HGSS, MUP</w:t>
            </w:r>
          </w:p>
        </w:tc>
      </w:tr>
      <w:tr w:rsidR="003C4E20" w:rsidRPr="003C4E20" w14:paraId="07E3E6B7" w14:textId="77777777" w:rsidTr="003C4E20">
        <w:tc>
          <w:tcPr>
            <w:tcW w:w="1673" w:type="pct"/>
            <w:shd w:val="clear" w:color="auto" w:fill="DEEAF6" w:themeFill="accent1" w:themeFillTint="33"/>
          </w:tcPr>
          <w:p w14:paraId="39F87DDD" w14:textId="77777777" w:rsidR="003C4E20" w:rsidRPr="003C4E20" w:rsidRDefault="003C4E20" w:rsidP="003C4E20">
            <w:pPr>
              <w:jc w:val="both"/>
              <w:rPr>
                <w:i/>
                <w:iCs/>
                <w:sz w:val="20"/>
                <w:szCs w:val="20"/>
              </w:rPr>
            </w:pPr>
            <w:r w:rsidRPr="003C4E20">
              <w:rPr>
                <w:i/>
                <w:iCs/>
                <w:sz w:val="20"/>
                <w:szCs w:val="20"/>
              </w:rPr>
              <w:t>Oznaka mjere</w:t>
            </w:r>
          </w:p>
        </w:tc>
        <w:tc>
          <w:tcPr>
            <w:tcW w:w="3327" w:type="pct"/>
          </w:tcPr>
          <w:p w14:paraId="0D0159EF" w14:textId="77777777" w:rsidR="003C4E20" w:rsidRPr="003C4E20" w:rsidRDefault="007C26E6" w:rsidP="003C4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</w:tbl>
    <w:p w14:paraId="4D16B97F" w14:textId="77777777" w:rsidR="003133D9" w:rsidRPr="003C4E20" w:rsidRDefault="003133D9" w:rsidP="00DF1063">
      <w:pPr>
        <w:pStyle w:val="Heading1"/>
      </w:pPr>
    </w:p>
    <w:sectPr w:rsidR="003133D9" w:rsidRPr="003C4E20" w:rsidSect="006151BF"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ED392" w14:textId="77777777" w:rsidR="00115E5A" w:rsidRDefault="00115E5A" w:rsidP="008C3B3A">
      <w:pPr>
        <w:spacing w:after="0" w:line="240" w:lineRule="auto"/>
      </w:pPr>
      <w:r>
        <w:separator/>
      </w:r>
    </w:p>
  </w:endnote>
  <w:endnote w:type="continuationSeparator" w:id="0">
    <w:p w14:paraId="178BE267" w14:textId="77777777" w:rsidR="00115E5A" w:rsidRDefault="00115E5A" w:rsidP="008C3B3A">
      <w:pPr>
        <w:spacing w:after="0" w:line="240" w:lineRule="auto"/>
      </w:pPr>
      <w:r>
        <w:continuationSeparator/>
      </w:r>
    </w:p>
  </w:endnote>
  <w:endnote w:type="continuationNotice" w:id="1">
    <w:p w14:paraId="05ED8328" w14:textId="77777777" w:rsidR="00115E5A" w:rsidRDefault="00115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626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5A330" w14:textId="3CF533DE" w:rsidR="00115E5A" w:rsidRDefault="00115E5A" w:rsidP="005D19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AD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2223D68" w14:textId="77777777" w:rsidR="00115E5A" w:rsidRPr="00DF667F" w:rsidRDefault="00115E5A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1FC38" w14:textId="77777777" w:rsidR="00115E5A" w:rsidRDefault="00115E5A" w:rsidP="008C3B3A">
      <w:pPr>
        <w:spacing w:after="0" w:line="240" w:lineRule="auto"/>
      </w:pPr>
      <w:r>
        <w:separator/>
      </w:r>
    </w:p>
  </w:footnote>
  <w:footnote w:type="continuationSeparator" w:id="0">
    <w:p w14:paraId="1E2863F0" w14:textId="77777777" w:rsidR="00115E5A" w:rsidRDefault="00115E5A" w:rsidP="008C3B3A">
      <w:pPr>
        <w:spacing w:after="0" w:line="240" w:lineRule="auto"/>
      </w:pPr>
      <w:r>
        <w:continuationSeparator/>
      </w:r>
    </w:p>
  </w:footnote>
  <w:footnote w:type="continuationNotice" w:id="1">
    <w:p w14:paraId="13804A0B" w14:textId="77777777" w:rsidR="00115E5A" w:rsidRDefault="00115E5A">
      <w:pPr>
        <w:spacing w:after="0" w:line="240" w:lineRule="auto"/>
      </w:pPr>
    </w:p>
  </w:footnote>
  <w:footnote w:id="2">
    <w:p w14:paraId="1BC942B3" w14:textId="4984CDCB" w:rsidR="00115E5A" w:rsidRDefault="00115E5A" w:rsidP="0055169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Rok za realizaciju projekata je u skladu s rokom provedbe NPOO prema kojem svi projekti moraju završiti s provedbom u 2026. godini.</w:t>
      </w:r>
    </w:p>
  </w:footnote>
  <w:footnote w:id="3">
    <w:p w14:paraId="2ABC2851" w14:textId="7384E777" w:rsidR="00115E5A" w:rsidRDefault="00115E5A">
      <w:pPr>
        <w:pStyle w:val="FootnoteText"/>
      </w:pPr>
      <w:r>
        <w:rPr>
          <w:rStyle w:val="FootnoteReference"/>
        </w:rPr>
        <w:footnoteRef/>
      </w:r>
      <w:r>
        <w:t xml:space="preserve"> Rok za realizaciju projekata je u skladu s rokom provedbe NPOO prema kojem svi projekti moraju završiti s provedbom u 2026. godini.</w:t>
      </w:r>
    </w:p>
  </w:footnote>
  <w:footnote w:id="4">
    <w:p w14:paraId="5C804CC0" w14:textId="10B7FEF0" w:rsidR="00115E5A" w:rsidRDefault="00115E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5B18">
        <w:t>Potpora u obliku jamstava za zajmove</w:t>
      </w:r>
      <w:r>
        <w:t xml:space="preserve"> </w:t>
      </w:r>
      <w:r w:rsidRPr="008D5B18">
        <w:t>u svrhu pripreme turističke sezone</w:t>
      </w:r>
      <w:r>
        <w:t>. Broji se broj zajmova koji su u potpunosti otplaćeni bez naplate jamstva.</w:t>
      </w:r>
    </w:p>
  </w:footnote>
  <w:footnote w:id="5">
    <w:p w14:paraId="410D57B0" w14:textId="636A30DF" w:rsidR="00115E5A" w:rsidRDefault="00115E5A" w:rsidP="003553F8">
      <w:pPr>
        <w:pStyle w:val="FootnoteText"/>
        <w:jc w:val="both"/>
      </w:pPr>
      <w:r w:rsidRPr="00865716">
        <w:footnoteRef/>
      </w:r>
      <w:r>
        <w:t xml:space="preserve"> EU Ecolabel je dobrovoljna eko-oznaka Europske unije koja temeljem standardiziranih kriterija promiče okolišnu održivost roba i usluga tijekom njihovog cijelog životnog ciklusa (od vađenja sirovina do odlaganja) i usluga, a provjeru usklađenost roba i usluga sa zadanim kriterijima verificira neovisna treća strana.</w:t>
      </w:r>
    </w:p>
  </w:footnote>
  <w:footnote w:id="6">
    <w:p w14:paraId="37E9D108" w14:textId="197AF405" w:rsidR="00115E5A" w:rsidRDefault="00115E5A" w:rsidP="003553F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EMAS (eng. Eco - Management </w:t>
      </w:r>
      <w:proofErr w:type="spellStart"/>
      <w:r>
        <w:t>and</w:t>
      </w:r>
      <w:proofErr w:type="spellEnd"/>
      <w:r>
        <w:t xml:space="preserve"> Audit </w:t>
      </w:r>
      <w:proofErr w:type="spellStart"/>
      <w:r>
        <w:t>Scheme</w:t>
      </w:r>
      <w:proofErr w:type="spellEnd"/>
      <w:r>
        <w:t>) je sustav upravljanja okolišem kojeg je Europska unija razvila za procjenu, izvješćivanje i unapređivanje okolišne održivosti organizacija svih vrsta i veličina, a provjeru usklađenosti organizacija sa zahtjevima sustava verificira neovisna treća strana.</w:t>
      </w:r>
    </w:p>
  </w:footnote>
  <w:footnote w:id="7">
    <w:p w14:paraId="4AA4DB42" w14:textId="1D6F9FA9" w:rsidR="00115E5A" w:rsidRDefault="00115E5A">
      <w:pPr>
        <w:pStyle w:val="FootnoteText"/>
      </w:pPr>
      <w:r>
        <w:rPr>
          <w:rStyle w:val="FootnoteReference"/>
        </w:rPr>
        <w:footnoteRef/>
      </w:r>
      <w:r>
        <w:t xml:space="preserve"> Rok za završetak edukacija je u skladu s rokom provedbe Nacionalnog plana oporavka i otpornosti prema kojem svi projekti moraju završiti s provedbom u 2026. godini.</w:t>
      </w:r>
      <w:bookmarkStart w:id="70" w:name="_GoBack"/>
      <w:bookmarkEnd w:id="70"/>
    </w:p>
  </w:footnote>
  <w:footnote w:id="8">
    <w:p w14:paraId="2004EE6F" w14:textId="77777777" w:rsidR="00115E5A" w:rsidRDefault="00115E5A">
      <w:pPr>
        <w:pStyle w:val="FootnoteText"/>
      </w:pPr>
      <w:r>
        <w:rPr>
          <w:rStyle w:val="FootnoteReference"/>
        </w:rPr>
        <w:footnoteRef/>
      </w:r>
      <w:r>
        <w:t xml:space="preserve"> Mjeri se broj u potpunosti otplaćenih kredita </w:t>
      </w:r>
    </w:p>
  </w:footnote>
  <w:footnote w:id="9">
    <w:p w14:paraId="42DDC233" w14:textId="7B1A7947" w:rsidR="00115E5A" w:rsidRDefault="00115E5A">
      <w:pPr>
        <w:pStyle w:val="FootnoteText"/>
      </w:pPr>
      <w:r>
        <w:rPr>
          <w:rStyle w:val="FootnoteReference"/>
        </w:rPr>
        <w:footnoteRef/>
      </w:r>
      <w:r>
        <w:t xml:space="preserve"> Rok za realizaciju projekata je u skladu s rokom provedbe Nacionalnog plana oporavka i otpornosti prema kojem svi projekti moraju završiti s provedbom u 2026. godini.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7BA"/>
    <w:multiLevelType w:val="hybridMultilevel"/>
    <w:tmpl w:val="608EBD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F1E66"/>
    <w:multiLevelType w:val="hybridMultilevel"/>
    <w:tmpl w:val="D2DA73B2"/>
    <w:lvl w:ilvl="0" w:tplc="EF726996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6AA57E6"/>
    <w:multiLevelType w:val="hybridMultilevel"/>
    <w:tmpl w:val="9B823B38"/>
    <w:lvl w:ilvl="0" w:tplc="EF726996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73E1816"/>
    <w:multiLevelType w:val="hybridMultilevel"/>
    <w:tmpl w:val="8A58E47C"/>
    <w:lvl w:ilvl="0" w:tplc="0BE477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E7148"/>
    <w:multiLevelType w:val="hybridMultilevel"/>
    <w:tmpl w:val="5694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C1BF4"/>
    <w:multiLevelType w:val="hybridMultilevel"/>
    <w:tmpl w:val="2B6045B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86047"/>
    <w:multiLevelType w:val="hybridMultilevel"/>
    <w:tmpl w:val="C32C0288"/>
    <w:lvl w:ilvl="0" w:tplc="0BE477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A0F63"/>
    <w:multiLevelType w:val="hybridMultilevel"/>
    <w:tmpl w:val="24461950"/>
    <w:lvl w:ilvl="0" w:tplc="2206C2A0">
      <w:start w:val="20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582A"/>
    <w:multiLevelType w:val="hybridMultilevel"/>
    <w:tmpl w:val="0FF4488E"/>
    <w:lvl w:ilvl="0" w:tplc="FF52834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A48C0"/>
    <w:multiLevelType w:val="hybridMultilevel"/>
    <w:tmpl w:val="62943618"/>
    <w:lvl w:ilvl="0" w:tplc="DBB0A5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C58C9"/>
    <w:multiLevelType w:val="hybridMultilevel"/>
    <w:tmpl w:val="A126CFA0"/>
    <w:lvl w:ilvl="0" w:tplc="041A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78E3636"/>
    <w:multiLevelType w:val="hybridMultilevel"/>
    <w:tmpl w:val="D766025C"/>
    <w:lvl w:ilvl="0" w:tplc="DBB0A5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A1F72"/>
    <w:multiLevelType w:val="hybridMultilevel"/>
    <w:tmpl w:val="451488E0"/>
    <w:lvl w:ilvl="0" w:tplc="EF726996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08D40BC"/>
    <w:multiLevelType w:val="hybridMultilevel"/>
    <w:tmpl w:val="7848E2FC"/>
    <w:lvl w:ilvl="0" w:tplc="0BE477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F067A"/>
    <w:multiLevelType w:val="hybridMultilevel"/>
    <w:tmpl w:val="6C58DFAA"/>
    <w:lvl w:ilvl="0" w:tplc="3030FED4">
      <w:numFmt w:val="bullet"/>
      <w:lvlText w:val="-"/>
      <w:lvlJc w:val="left"/>
      <w:pPr>
        <w:ind w:left="1413" w:hanging="705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AA1617"/>
    <w:multiLevelType w:val="hybridMultilevel"/>
    <w:tmpl w:val="E384F76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F69C7"/>
    <w:multiLevelType w:val="hybridMultilevel"/>
    <w:tmpl w:val="A7584516"/>
    <w:lvl w:ilvl="0" w:tplc="EF726996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44762DE3"/>
    <w:multiLevelType w:val="hybridMultilevel"/>
    <w:tmpl w:val="4B6CEF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80F35"/>
    <w:multiLevelType w:val="multilevel"/>
    <w:tmpl w:val="BFD6FF3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70D7FA6"/>
    <w:multiLevelType w:val="hybridMultilevel"/>
    <w:tmpl w:val="8A960C90"/>
    <w:lvl w:ilvl="0" w:tplc="0BE477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51BB"/>
    <w:multiLevelType w:val="hybridMultilevel"/>
    <w:tmpl w:val="88EE852E"/>
    <w:lvl w:ilvl="0" w:tplc="EF726996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5B1216"/>
    <w:multiLevelType w:val="hybridMultilevel"/>
    <w:tmpl w:val="2FBCC1FC"/>
    <w:lvl w:ilvl="0" w:tplc="EF726996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594E5329"/>
    <w:multiLevelType w:val="hybridMultilevel"/>
    <w:tmpl w:val="24CE3F9C"/>
    <w:lvl w:ilvl="0" w:tplc="410AA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80A39"/>
    <w:multiLevelType w:val="hybridMultilevel"/>
    <w:tmpl w:val="C62C3698"/>
    <w:lvl w:ilvl="0" w:tplc="EF726996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E3F6BD2"/>
    <w:multiLevelType w:val="hybridMultilevel"/>
    <w:tmpl w:val="EFF89D1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D07CA"/>
    <w:multiLevelType w:val="hybridMultilevel"/>
    <w:tmpl w:val="19A2C41E"/>
    <w:lvl w:ilvl="0" w:tplc="0BE477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67735"/>
    <w:multiLevelType w:val="hybridMultilevel"/>
    <w:tmpl w:val="D8F82AC2"/>
    <w:lvl w:ilvl="0" w:tplc="C6B6D8D4">
      <w:start w:val="4"/>
      <w:numFmt w:val="decimal"/>
      <w:pStyle w:val="posebnicilj"/>
      <w:lvlText w:val="%1.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A12FB"/>
    <w:multiLevelType w:val="hybridMultilevel"/>
    <w:tmpl w:val="03C262E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FA78D0"/>
    <w:multiLevelType w:val="hybridMultilevel"/>
    <w:tmpl w:val="4FE0B76E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470608"/>
    <w:multiLevelType w:val="hybridMultilevel"/>
    <w:tmpl w:val="BC465A96"/>
    <w:lvl w:ilvl="0" w:tplc="3030FED4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B25F5"/>
    <w:multiLevelType w:val="hybridMultilevel"/>
    <w:tmpl w:val="3DB477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8D5073"/>
    <w:multiLevelType w:val="hybridMultilevel"/>
    <w:tmpl w:val="FDF41D38"/>
    <w:lvl w:ilvl="0" w:tplc="EF726996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6C721196"/>
    <w:multiLevelType w:val="hybridMultilevel"/>
    <w:tmpl w:val="C414E13C"/>
    <w:lvl w:ilvl="0" w:tplc="041A0005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3" w15:restartNumberingAfterBreak="0">
    <w:nsid w:val="6E7018B4"/>
    <w:multiLevelType w:val="hybridMultilevel"/>
    <w:tmpl w:val="1A1E4D72"/>
    <w:lvl w:ilvl="0" w:tplc="E460B32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203C1"/>
    <w:multiLevelType w:val="hybridMultilevel"/>
    <w:tmpl w:val="EEB2C7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371D1F"/>
    <w:multiLevelType w:val="hybridMultilevel"/>
    <w:tmpl w:val="DC342F34"/>
    <w:lvl w:ilvl="0" w:tplc="0BE477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11CBC"/>
    <w:multiLevelType w:val="hybridMultilevel"/>
    <w:tmpl w:val="B274BAFE"/>
    <w:lvl w:ilvl="0" w:tplc="EF726996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78E111A2"/>
    <w:multiLevelType w:val="multilevel"/>
    <w:tmpl w:val="5CAA4AA4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8" w15:restartNumberingAfterBreak="0">
    <w:nsid w:val="7A316D28"/>
    <w:multiLevelType w:val="hybridMultilevel"/>
    <w:tmpl w:val="BFCC8B74"/>
    <w:lvl w:ilvl="0" w:tplc="EF726996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9" w15:restartNumberingAfterBreak="0">
    <w:nsid w:val="7A5C61BC"/>
    <w:multiLevelType w:val="hybridMultilevel"/>
    <w:tmpl w:val="0E201E0C"/>
    <w:lvl w:ilvl="0" w:tplc="C6BC90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E41F7"/>
    <w:multiLevelType w:val="multilevel"/>
    <w:tmpl w:val="977CFA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987E80"/>
    <w:multiLevelType w:val="hybridMultilevel"/>
    <w:tmpl w:val="7932E55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36"/>
  </w:num>
  <w:num w:numId="7">
    <w:abstractNumId w:val="16"/>
  </w:num>
  <w:num w:numId="8">
    <w:abstractNumId w:val="21"/>
  </w:num>
  <w:num w:numId="9">
    <w:abstractNumId w:val="1"/>
  </w:num>
  <w:num w:numId="10">
    <w:abstractNumId w:val="12"/>
  </w:num>
  <w:num w:numId="11">
    <w:abstractNumId w:val="31"/>
  </w:num>
  <w:num w:numId="12">
    <w:abstractNumId w:val="2"/>
  </w:num>
  <w:num w:numId="13">
    <w:abstractNumId w:val="23"/>
  </w:num>
  <w:num w:numId="14">
    <w:abstractNumId w:val="20"/>
  </w:num>
  <w:num w:numId="15">
    <w:abstractNumId w:val="33"/>
  </w:num>
  <w:num w:numId="16">
    <w:abstractNumId w:val="17"/>
  </w:num>
  <w:num w:numId="17">
    <w:abstractNumId w:val="13"/>
  </w:num>
  <w:num w:numId="18">
    <w:abstractNumId w:val="26"/>
  </w:num>
  <w:num w:numId="19">
    <w:abstractNumId w:val="22"/>
  </w:num>
  <w:num w:numId="20">
    <w:abstractNumId w:val="39"/>
  </w:num>
  <w:num w:numId="21">
    <w:abstractNumId w:val="8"/>
  </w:num>
  <w:num w:numId="22">
    <w:abstractNumId w:val="4"/>
  </w:num>
  <w:num w:numId="23">
    <w:abstractNumId w:val="10"/>
  </w:num>
  <w:num w:numId="24">
    <w:abstractNumId w:val="32"/>
  </w:num>
  <w:num w:numId="25">
    <w:abstractNumId w:val="3"/>
  </w:num>
  <w:num w:numId="26">
    <w:abstractNumId w:val="25"/>
  </w:num>
  <w:num w:numId="27">
    <w:abstractNumId w:val="6"/>
  </w:num>
  <w:num w:numId="28">
    <w:abstractNumId w:val="19"/>
  </w:num>
  <w:num w:numId="29">
    <w:abstractNumId w:val="37"/>
  </w:num>
  <w:num w:numId="30">
    <w:abstractNumId w:val="35"/>
  </w:num>
  <w:num w:numId="31">
    <w:abstractNumId w:val="40"/>
  </w:num>
  <w:num w:numId="32">
    <w:abstractNumId w:val="15"/>
  </w:num>
  <w:num w:numId="33">
    <w:abstractNumId w:val="5"/>
  </w:num>
  <w:num w:numId="34">
    <w:abstractNumId w:val="27"/>
  </w:num>
  <w:num w:numId="35">
    <w:abstractNumId w:val="28"/>
  </w:num>
  <w:num w:numId="36">
    <w:abstractNumId w:val="24"/>
  </w:num>
  <w:num w:numId="37">
    <w:abstractNumId w:val="11"/>
  </w:num>
  <w:num w:numId="38">
    <w:abstractNumId w:val="9"/>
  </w:num>
  <w:num w:numId="39">
    <w:abstractNumId w:val="41"/>
  </w:num>
  <w:num w:numId="40">
    <w:abstractNumId w:val="30"/>
  </w:num>
  <w:num w:numId="41">
    <w:abstractNumId w:val="0"/>
  </w:num>
  <w:num w:numId="42">
    <w:abstractNumId w:val="30"/>
  </w:num>
  <w:num w:numId="43">
    <w:abstractNumId w:val="9"/>
  </w:num>
  <w:num w:numId="44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30"/>
    <w:rsid w:val="000019A1"/>
    <w:rsid w:val="00001CFB"/>
    <w:rsid w:val="00002410"/>
    <w:rsid w:val="00006FFC"/>
    <w:rsid w:val="00007737"/>
    <w:rsid w:val="0001211C"/>
    <w:rsid w:val="00012226"/>
    <w:rsid w:val="000131CE"/>
    <w:rsid w:val="00016B5B"/>
    <w:rsid w:val="00017710"/>
    <w:rsid w:val="0002012D"/>
    <w:rsid w:val="00020934"/>
    <w:rsid w:val="00021B6E"/>
    <w:rsid w:val="00022683"/>
    <w:rsid w:val="000235FE"/>
    <w:rsid w:val="000246DA"/>
    <w:rsid w:val="000257C8"/>
    <w:rsid w:val="00025C26"/>
    <w:rsid w:val="0003252A"/>
    <w:rsid w:val="000330D0"/>
    <w:rsid w:val="00033951"/>
    <w:rsid w:val="00034777"/>
    <w:rsid w:val="00036113"/>
    <w:rsid w:val="00036507"/>
    <w:rsid w:val="00042A1B"/>
    <w:rsid w:val="000432E6"/>
    <w:rsid w:val="00044C28"/>
    <w:rsid w:val="00045164"/>
    <w:rsid w:val="0004572A"/>
    <w:rsid w:val="00046392"/>
    <w:rsid w:val="00046D5B"/>
    <w:rsid w:val="00047C5F"/>
    <w:rsid w:val="000536AF"/>
    <w:rsid w:val="00055701"/>
    <w:rsid w:val="00055DC6"/>
    <w:rsid w:val="00057814"/>
    <w:rsid w:val="000619C7"/>
    <w:rsid w:val="00064A94"/>
    <w:rsid w:val="00066461"/>
    <w:rsid w:val="00070340"/>
    <w:rsid w:val="00070B0B"/>
    <w:rsid w:val="00070FC8"/>
    <w:rsid w:val="000715B7"/>
    <w:rsid w:val="000724C5"/>
    <w:rsid w:val="000732F2"/>
    <w:rsid w:val="00074A70"/>
    <w:rsid w:val="00075BFC"/>
    <w:rsid w:val="000762BA"/>
    <w:rsid w:val="00077429"/>
    <w:rsid w:val="00081DFF"/>
    <w:rsid w:val="000821E0"/>
    <w:rsid w:val="00082C52"/>
    <w:rsid w:val="000853F1"/>
    <w:rsid w:val="00086D9A"/>
    <w:rsid w:val="00087827"/>
    <w:rsid w:val="00087D19"/>
    <w:rsid w:val="000916B0"/>
    <w:rsid w:val="00091D2B"/>
    <w:rsid w:val="00091DA4"/>
    <w:rsid w:val="00092BBA"/>
    <w:rsid w:val="00092CA7"/>
    <w:rsid w:val="000943B4"/>
    <w:rsid w:val="000961AC"/>
    <w:rsid w:val="00096460"/>
    <w:rsid w:val="00097C06"/>
    <w:rsid w:val="000A13B8"/>
    <w:rsid w:val="000A7208"/>
    <w:rsid w:val="000A7577"/>
    <w:rsid w:val="000A7BE8"/>
    <w:rsid w:val="000B15AF"/>
    <w:rsid w:val="000B2CA7"/>
    <w:rsid w:val="000B58E0"/>
    <w:rsid w:val="000C0EFC"/>
    <w:rsid w:val="000C1B69"/>
    <w:rsid w:val="000C3681"/>
    <w:rsid w:val="000C3E0E"/>
    <w:rsid w:val="000C4E05"/>
    <w:rsid w:val="000C4EE4"/>
    <w:rsid w:val="000C5302"/>
    <w:rsid w:val="000C6F59"/>
    <w:rsid w:val="000D286D"/>
    <w:rsid w:val="000D3109"/>
    <w:rsid w:val="000D4160"/>
    <w:rsid w:val="000D5D0D"/>
    <w:rsid w:val="000D5D24"/>
    <w:rsid w:val="000D6A35"/>
    <w:rsid w:val="000D6A6C"/>
    <w:rsid w:val="000E22B2"/>
    <w:rsid w:val="000E6764"/>
    <w:rsid w:val="000E6A4D"/>
    <w:rsid w:val="000F020A"/>
    <w:rsid w:val="000F08D3"/>
    <w:rsid w:val="000F201A"/>
    <w:rsid w:val="000F3BE3"/>
    <w:rsid w:val="000F45A5"/>
    <w:rsid w:val="000F47E6"/>
    <w:rsid w:val="000F5A77"/>
    <w:rsid w:val="00100273"/>
    <w:rsid w:val="00100514"/>
    <w:rsid w:val="001006F3"/>
    <w:rsid w:val="0010305A"/>
    <w:rsid w:val="00104DDE"/>
    <w:rsid w:val="0010699B"/>
    <w:rsid w:val="00110CF4"/>
    <w:rsid w:val="00111F68"/>
    <w:rsid w:val="00115E5A"/>
    <w:rsid w:val="00122171"/>
    <w:rsid w:val="0012266D"/>
    <w:rsid w:val="00122905"/>
    <w:rsid w:val="00122921"/>
    <w:rsid w:val="00122B5A"/>
    <w:rsid w:val="00123025"/>
    <w:rsid w:val="00123148"/>
    <w:rsid w:val="0012513F"/>
    <w:rsid w:val="00125277"/>
    <w:rsid w:val="00125495"/>
    <w:rsid w:val="001260AB"/>
    <w:rsid w:val="001278E3"/>
    <w:rsid w:val="0013075E"/>
    <w:rsid w:val="00132DDC"/>
    <w:rsid w:val="00134537"/>
    <w:rsid w:val="001347ED"/>
    <w:rsid w:val="001366BF"/>
    <w:rsid w:val="00136864"/>
    <w:rsid w:val="001375F1"/>
    <w:rsid w:val="00140EAB"/>
    <w:rsid w:val="001447DF"/>
    <w:rsid w:val="00147427"/>
    <w:rsid w:val="00150ADC"/>
    <w:rsid w:val="00152533"/>
    <w:rsid w:val="00152884"/>
    <w:rsid w:val="001552D5"/>
    <w:rsid w:val="001554A4"/>
    <w:rsid w:val="00157AF8"/>
    <w:rsid w:val="00157D47"/>
    <w:rsid w:val="00161479"/>
    <w:rsid w:val="001619C6"/>
    <w:rsid w:val="00163E56"/>
    <w:rsid w:val="00165FAC"/>
    <w:rsid w:val="00166E5D"/>
    <w:rsid w:val="00170750"/>
    <w:rsid w:val="00172724"/>
    <w:rsid w:val="00174291"/>
    <w:rsid w:val="001750CA"/>
    <w:rsid w:val="00175792"/>
    <w:rsid w:val="0017779D"/>
    <w:rsid w:val="0018138D"/>
    <w:rsid w:val="0018183E"/>
    <w:rsid w:val="00185E4E"/>
    <w:rsid w:val="001863F6"/>
    <w:rsid w:val="0018661F"/>
    <w:rsid w:val="00186FCA"/>
    <w:rsid w:val="001939E1"/>
    <w:rsid w:val="00196746"/>
    <w:rsid w:val="00196E0D"/>
    <w:rsid w:val="00196E8C"/>
    <w:rsid w:val="001A1631"/>
    <w:rsid w:val="001A2BA7"/>
    <w:rsid w:val="001A600B"/>
    <w:rsid w:val="001B1B7F"/>
    <w:rsid w:val="001B26AC"/>
    <w:rsid w:val="001B35EA"/>
    <w:rsid w:val="001B3670"/>
    <w:rsid w:val="001B4372"/>
    <w:rsid w:val="001B494D"/>
    <w:rsid w:val="001B5615"/>
    <w:rsid w:val="001C0300"/>
    <w:rsid w:val="001C043B"/>
    <w:rsid w:val="001C100C"/>
    <w:rsid w:val="001C3A11"/>
    <w:rsid w:val="001C5013"/>
    <w:rsid w:val="001C508F"/>
    <w:rsid w:val="001C6AF6"/>
    <w:rsid w:val="001C775E"/>
    <w:rsid w:val="001C77B6"/>
    <w:rsid w:val="001D030F"/>
    <w:rsid w:val="001D0E32"/>
    <w:rsid w:val="001D175E"/>
    <w:rsid w:val="001D5409"/>
    <w:rsid w:val="001D573C"/>
    <w:rsid w:val="001D59D0"/>
    <w:rsid w:val="001E30FC"/>
    <w:rsid w:val="001E7802"/>
    <w:rsid w:val="001F2C8D"/>
    <w:rsid w:val="001F3607"/>
    <w:rsid w:val="001F40A7"/>
    <w:rsid w:val="001F43C7"/>
    <w:rsid w:val="001F4869"/>
    <w:rsid w:val="001F50C6"/>
    <w:rsid w:val="001F5D9B"/>
    <w:rsid w:val="00200AB2"/>
    <w:rsid w:val="002016C4"/>
    <w:rsid w:val="0020282A"/>
    <w:rsid w:val="0020479F"/>
    <w:rsid w:val="002047E8"/>
    <w:rsid w:val="00205541"/>
    <w:rsid w:val="002071E1"/>
    <w:rsid w:val="0020760F"/>
    <w:rsid w:val="00207665"/>
    <w:rsid w:val="00210057"/>
    <w:rsid w:val="00210908"/>
    <w:rsid w:val="0021153D"/>
    <w:rsid w:val="0021728B"/>
    <w:rsid w:val="002256C8"/>
    <w:rsid w:val="00234118"/>
    <w:rsid w:val="0023720B"/>
    <w:rsid w:val="00240049"/>
    <w:rsid w:val="00241682"/>
    <w:rsid w:val="00242672"/>
    <w:rsid w:val="002428FA"/>
    <w:rsid w:val="002434C6"/>
    <w:rsid w:val="00244F43"/>
    <w:rsid w:val="00245FBA"/>
    <w:rsid w:val="00247FCE"/>
    <w:rsid w:val="0025174C"/>
    <w:rsid w:val="00251E15"/>
    <w:rsid w:val="002525AC"/>
    <w:rsid w:val="00252CC2"/>
    <w:rsid w:val="002534E5"/>
    <w:rsid w:val="00253B42"/>
    <w:rsid w:val="0025597E"/>
    <w:rsid w:val="00255E58"/>
    <w:rsid w:val="00257252"/>
    <w:rsid w:val="0025770D"/>
    <w:rsid w:val="0026162D"/>
    <w:rsid w:val="00261918"/>
    <w:rsid w:val="00261F2D"/>
    <w:rsid w:val="002620E2"/>
    <w:rsid w:val="00265FC7"/>
    <w:rsid w:val="00266930"/>
    <w:rsid w:val="00266C0C"/>
    <w:rsid w:val="0026797F"/>
    <w:rsid w:val="00271055"/>
    <w:rsid w:val="002772DC"/>
    <w:rsid w:val="00277878"/>
    <w:rsid w:val="00280004"/>
    <w:rsid w:val="0028282D"/>
    <w:rsid w:val="00284533"/>
    <w:rsid w:val="0028498A"/>
    <w:rsid w:val="00286F4E"/>
    <w:rsid w:val="002912A3"/>
    <w:rsid w:val="00295A42"/>
    <w:rsid w:val="00295DF9"/>
    <w:rsid w:val="002A06A5"/>
    <w:rsid w:val="002A0DC8"/>
    <w:rsid w:val="002A2320"/>
    <w:rsid w:val="002A433C"/>
    <w:rsid w:val="002A4DBD"/>
    <w:rsid w:val="002A689E"/>
    <w:rsid w:val="002A68E9"/>
    <w:rsid w:val="002A7945"/>
    <w:rsid w:val="002B0473"/>
    <w:rsid w:val="002B2765"/>
    <w:rsid w:val="002B3CAE"/>
    <w:rsid w:val="002B4678"/>
    <w:rsid w:val="002B5B51"/>
    <w:rsid w:val="002C226E"/>
    <w:rsid w:val="002C23FE"/>
    <w:rsid w:val="002C2567"/>
    <w:rsid w:val="002C44E1"/>
    <w:rsid w:val="002C6501"/>
    <w:rsid w:val="002C7796"/>
    <w:rsid w:val="002D0A88"/>
    <w:rsid w:val="002D1C36"/>
    <w:rsid w:val="002D349B"/>
    <w:rsid w:val="002E02EA"/>
    <w:rsid w:val="002E1001"/>
    <w:rsid w:val="002E2638"/>
    <w:rsid w:val="002E3F59"/>
    <w:rsid w:val="002E4AF1"/>
    <w:rsid w:val="002E5058"/>
    <w:rsid w:val="002E57E2"/>
    <w:rsid w:val="002E5EC4"/>
    <w:rsid w:val="002E639D"/>
    <w:rsid w:val="002E6620"/>
    <w:rsid w:val="002F12D4"/>
    <w:rsid w:val="002F2DE9"/>
    <w:rsid w:val="00300AC7"/>
    <w:rsid w:val="00302ED3"/>
    <w:rsid w:val="0030486F"/>
    <w:rsid w:val="0030499E"/>
    <w:rsid w:val="00304D89"/>
    <w:rsid w:val="00306BF2"/>
    <w:rsid w:val="00306C5A"/>
    <w:rsid w:val="0030714D"/>
    <w:rsid w:val="0031105E"/>
    <w:rsid w:val="0031264A"/>
    <w:rsid w:val="00313121"/>
    <w:rsid w:val="003133D9"/>
    <w:rsid w:val="0031357F"/>
    <w:rsid w:val="00320B7F"/>
    <w:rsid w:val="00323585"/>
    <w:rsid w:val="0032434D"/>
    <w:rsid w:val="00324621"/>
    <w:rsid w:val="00330AB8"/>
    <w:rsid w:val="00331A0F"/>
    <w:rsid w:val="00331ED9"/>
    <w:rsid w:val="0033301C"/>
    <w:rsid w:val="00333C27"/>
    <w:rsid w:val="00336469"/>
    <w:rsid w:val="00351D27"/>
    <w:rsid w:val="003522A9"/>
    <w:rsid w:val="003553F8"/>
    <w:rsid w:val="00356101"/>
    <w:rsid w:val="00356369"/>
    <w:rsid w:val="003569A8"/>
    <w:rsid w:val="00360757"/>
    <w:rsid w:val="003619E9"/>
    <w:rsid w:val="00362998"/>
    <w:rsid w:val="00363131"/>
    <w:rsid w:val="003631A6"/>
    <w:rsid w:val="00364839"/>
    <w:rsid w:val="0036783F"/>
    <w:rsid w:val="00367B71"/>
    <w:rsid w:val="00367C12"/>
    <w:rsid w:val="00367F9E"/>
    <w:rsid w:val="00371346"/>
    <w:rsid w:val="003764A7"/>
    <w:rsid w:val="00380B4D"/>
    <w:rsid w:val="00381471"/>
    <w:rsid w:val="00386152"/>
    <w:rsid w:val="00386EC7"/>
    <w:rsid w:val="003902C8"/>
    <w:rsid w:val="00390F7E"/>
    <w:rsid w:val="0039239F"/>
    <w:rsid w:val="003926B7"/>
    <w:rsid w:val="003934A7"/>
    <w:rsid w:val="00394895"/>
    <w:rsid w:val="00395152"/>
    <w:rsid w:val="003A110D"/>
    <w:rsid w:val="003A190D"/>
    <w:rsid w:val="003A1E66"/>
    <w:rsid w:val="003A2FA2"/>
    <w:rsid w:val="003A324F"/>
    <w:rsid w:val="003A5469"/>
    <w:rsid w:val="003A6344"/>
    <w:rsid w:val="003A6CE3"/>
    <w:rsid w:val="003B3A92"/>
    <w:rsid w:val="003B4408"/>
    <w:rsid w:val="003B5201"/>
    <w:rsid w:val="003B6B6C"/>
    <w:rsid w:val="003C2D58"/>
    <w:rsid w:val="003C4E20"/>
    <w:rsid w:val="003C5101"/>
    <w:rsid w:val="003D0D7A"/>
    <w:rsid w:val="003D1934"/>
    <w:rsid w:val="003D237B"/>
    <w:rsid w:val="003D4562"/>
    <w:rsid w:val="003D6354"/>
    <w:rsid w:val="003E109F"/>
    <w:rsid w:val="003E1290"/>
    <w:rsid w:val="003E2C29"/>
    <w:rsid w:val="003E2CBF"/>
    <w:rsid w:val="003E4509"/>
    <w:rsid w:val="003F1B06"/>
    <w:rsid w:val="003F1C26"/>
    <w:rsid w:val="003F3E4E"/>
    <w:rsid w:val="004004C0"/>
    <w:rsid w:val="00401FD8"/>
    <w:rsid w:val="0040331C"/>
    <w:rsid w:val="00403900"/>
    <w:rsid w:val="00403980"/>
    <w:rsid w:val="00403F57"/>
    <w:rsid w:val="00405A97"/>
    <w:rsid w:val="00406459"/>
    <w:rsid w:val="00407AFD"/>
    <w:rsid w:val="004138E7"/>
    <w:rsid w:val="00415EF9"/>
    <w:rsid w:val="00420DE5"/>
    <w:rsid w:val="00422191"/>
    <w:rsid w:val="004236D5"/>
    <w:rsid w:val="004237EF"/>
    <w:rsid w:val="004240E3"/>
    <w:rsid w:val="00425754"/>
    <w:rsid w:val="0042649C"/>
    <w:rsid w:val="00426B92"/>
    <w:rsid w:val="00426F7A"/>
    <w:rsid w:val="004270AE"/>
    <w:rsid w:val="00427439"/>
    <w:rsid w:val="00430988"/>
    <w:rsid w:val="00435C95"/>
    <w:rsid w:val="00437DCB"/>
    <w:rsid w:val="0044030C"/>
    <w:rsid w:val="00441D04"/>
    <w:rsid w:val="0044250D"/>
    <w:rsid w:val="00442AE8"/>
    <w:rsid w:val="0044311E"/>
    <w:rsid w:val="00443445"/>
    <w:rsid w:val="00444451"/>
    <w:rsid w:val="00444D84"/>
    <w:rsid w:val="00446F40"/>
    <w:rsid w:val="0044775A"/>
    <w:rsid w:val="00450069"/>
    <w:rsid w:val="0045031A"/>
    <w:rsid w:val="0045067F"/>
    <w:rsid w:val="00450F23"/>
    <w:rsid w:val="004511D6"/>
    <w:rsid w:val="004527B7"/>
    <w:rsid w:val="00452ED5"/>
    <w:rsid w:val="004537D0"/>
    <w:rsid w:val="004549E3"/>
    <w:rsid w:val="00454DC3"/>
    <w:rsid w:val="00455575"/>
    <w:rsid w:val="00455907"/>
    <w:rsid w:val="00456053"/>
    <w:rsid w:val="00460DC9"/>
    <w:rsid w:val="0046388E"/>
    <w:rsid w:val="004647B7"/>
    <w:rsid w:val="00466B00"/>
    <w:rsid w:val="00466BA1"/>
    <w:rsid w:val="00467C30"/>
    <w:rsid w:val="00467FFA"/>
    <w:rsid w:val="004704B5"/>
    <w:rsid w:val="004720CC"/>
    <w:rsid w:val="00473A3C"/>
    <w:rsid w:val="00474AAE"/>
    <w:rsid w:val="00474F16"/>
    <w:rsid w:val="004846C9"/>
    <w:rsid w:val="004855E3"/>
    <w:rsid w:val="0048648C"/>
    <w:rsid w:val="00491110"/>
    <w:rsid w:val="0049271F"/>
    <w:rsid w:val="0049282B"/>
    <w:rsid w:val="00493992"/>
    <w:rsid w:val="00495059"/>
    <w:rsid w:val="00496723"/>
    <w:rsid w:val="004979A1"/>
    <w:rsid w:val="00497F67"/>
    <w:rsid w:val="004A0876"/>
    <w:rsid w:val="004A1C6D"/>
    <w:rsid w:val="004A3D16"/>
    <w:rsid w:val="004A4946"/>
    <w:rsid w:val="004A49D1"/>
    <w:rsid w:val="004A6351"/>
    <w:rsid w:val="004A6A30"/>
    <w:rsid w:val="004B0DD9"/>
    <w:rsid w:val="004B1D87"/>
    <w:rsid w:val="004B2D3A"/>
    <w:rsid w:val="004B310C"/>
    <w:rsid w:val="004B3519"/>
    <w:rsid w:val="004B67E3"/>
    <w:rsid w:val="004C062A"/>
    <w:rsid w:val="004C0764"/>
    <w:rsid w:val="004C0EF4"/>
    <w:rsid w:val="004C162D"/>
    <w:rsid w:val="004C2A44"/>
    <w:rsid w:val="004C2C1A"/>
    <w:rsid w:val="004C5EA7"/>
    <w:rsid w:val="004D028C"/>
    <w:rsid w:val="004D2C19"/>
    <w:rsid w:val="004D608D"/>
    <w:rsid w:val="004E16A4"/>
    <w:rsid w:val="004E4A86"/>
    <w:rsid w:val="004E5AD4"/>
    <w:rsid w:val="004E5E5C"/>
    <w:rsid w:val="004E6C4F"/>
    <w:rsid w:val="004F128C"/>
    <w:rsid w:val="004F19D3"/>
    <w:rsid w:val="004F383C"/>
    <w:rsid w:val="004F3856"/>
    <w:rsid w:val="004F3E22"/>
    <w:rsid w:val="00500066"/>
    <w:rsid w:val="00500D95"/>
    <w:rsid w:val="005021F0"/>
    <w:rsid w:val="00504156"/>
    <w:rsid w:val="00504812"/>
    <w:rsid w:val="00504C39"/>
    <w:rsid w:val="00505A91"/>
    <w:rsid w:val="00511590"/>
    <w:rsid w:val="00512E8C"/>
    <w:rsid w:val="005142C4"/>
    <w:rsid w:val="00517A4B"/>
    <w:rsid w:val="00517F48"/>
    <w:rsid w:val="005247DD"/>
    <w:rsid w:val="005247FE"/>
    <w:rsid w:val="005262A9"/>
    <w:rsid w:val="00526AA5"/>
    <w:rsid w:val="005276E2"/>
    <w:rsid w:val="00531798"/>
    <w:rsid w:val="00535A2C"/>
    <w:rsid w:val="00536490"/>
    <w:rsid w:val="005371A7"/>
    <w:rsid w:val="00542144"/>
    <w:rsid w:val="00543E7D"/>
    <w:rsid w:val="00544613"/>
    <w:rsid w:val="00544796"/>
    <w:rsid w:val="005458B4"/>
    <w:rsid w:val="005459FD"/>
    <w:rsid w:val="00551698"/>
    <w:rsid w:val="005521B8"/>
    <w:rsid w:val="005544E8"/>
    <w:rsid w:val="00554581"/>
    <w:rsid w:val="00555DAB"/>
    <w:rsid w:val="0055787D"/>
    <w:rsid w:val="00561156"/>
    <w:rsid w:val="00564339"/>
    <w:rsid w:val="0056448E"/>
    <w:rsid w:val="00564531"/>
    <w:rsid w:val="005648F2"/>
    <w:rsid w:val="0056588B"/>
    <w:rsid w:val="00565FC0"/>
    <w:rsid w:val="00567A50"/>
    <w:rsid w:val="005718DB"/>
    <w:rsid w:val="005730D4"/>
    <w:rsid w:val="0057602C"/>
    <w:rsid w:val="00580731"/>
    <w:rsid w:val="00582B3B"/>
    <w:rsid w:val="00582FC8"/>
    <w:rsid w:val="00583A17"/>
    <w:rsid w:val="00583AF0"/>
    <w:rsid w:val="0058483A"/>
    <w:rsid w:val="00586245"/>
    <w:rsid w:val="00586F68"/>
    <w:rsid w:val="00587E72"/>
    <w:rsid w:val="00587F74"/>
    <w:rsid w:val="005913EC"/>
    <w:rsid w:val="0059243F"/>
    <w:rsid w:val="005924BE"/>
    <w:rsid w:val="0059266E"/>
    <w:rsid w:val="005929AB"/>
    <w:rsid w:val="00596678"/>
    <w:rsid w:val="0059678B"/>
    <w:rsid w:val="00596C1D"/>
    <w:rsid w:val="005A424C"/>
    <w:rsid w:val="005A6BE1"/>
    <w:rsid w:val="005A7EDF"/>
    <w:rsid w:val="005B0FD5"/>
    <w:rsid w:val="005B143D"/>
    <w:rsid w:val="005B4340"/>
    <w:rsid w:val="005B4AB0"/>
    <w:rsid w:val="005B5BB9"/>
    <w:rsid w:val="005B6B56"/>
    <w:rsid w:val="005B7BA8"/>
    <w:rsid w:val="005C1FF9"/>
    <w:rsid w:val="005C4309"/>
    <w:rsid w:val="005C5BEB"/>
    <w:rsid w:val="005C5F99"/>
    <w:rsid w:val="005D1886"/>
    <w:rsid w:val="005D193A"/>
    <w:rsid w:val="005D2708"/>
    <w:rsid w:val="005D3B17"/>
    <w:rsid w:val="005D40CE"/>
    <w:rsid w:val="005D4E94"/>
    <w:rsid w:val="005D5DD4"/>
    <w:rsid w:val="005E2423"/>
    <w:rsid w:val="005E35D1"/>
    <w:rsid w:val="005E69CD"/>
    <w:rsid w:val="005F28C0"/>
    <w:rsid w:val="00600529"/>
    <w:rsid w:val="006014D7"/>
    <w:rsid w:val="006017AC"/>
    <w:rsid w:val="00601DB7"/>
    <w:rsid w:val="00604108"/>
    <w:rsid w:val="00604A38"/>
    <w:rsid w:val="00604D94"/>
    <w:rsid w:val="00605B07"/>
    <w:rsid w:val="00611FF7"/>
    <w:rsid w:val="00612E66"/>
    <w:rsid w:val="006151BF"/>
    <w:rsid w:val="0061637C"/>
    <w:rsid w:val="00616874"/>
    <w:rsid w:val="00621197"/>
    <w:rsid w:val="006240CE"/>
    <w:rsid w:val="00624A0E"/>
    <w:rsid w:val="00626910"/>
    <w:rsid w:val="00630663"/>
    <w:rsid w:val="00631962"/>
    <w:rsid w:val="006325E4"/>
    <w:rsid w:val="00635D0D"/>
    <w:rsid w:val="006361D0"/>
    <w:rsid w:val="00636498"/>
    <w:rsid w:val="00640730"/>
    <w:rsid w:val="00641329"/>
    <w:rsid w:val="0064222D"/>
    <w:rsid w:val="00643F75"/>
    <w:rsid w:val="0065404C"/>
    <w:rsid w:val="00655167"/>
    <w:rsid w:val="00657546"/>
    <w:rsid w:val="00660011"/>
    <w:rsid w:val="00663B40"/>
    <w:rsid w:val="00664190"/>
    <w:rsid w:val="00664216"/>
    <w:rsid w:val="006666D2"/>
    <w:rsid w:val="0066725C"/>
    <w:rsid w:val="006703CB"/>
    <w:rsid w:val="0067079F"/>
    <w:rsid w:val="0067080C"/>
    <w:rsid w:val="00672975"/>
    <w:rsid w:val="00672A03"/>
    <w:rsid w:val="00673C8F"/>
    <w:rsid w:val="0067753D"/>
    <w:rsid w:val="006807B8"/>
    <w:rsid w:val="00681E72"/>
    <w:rsid w:val="00682AB9"/>
    <w:rsid w:val="00683748"/>
    <w:rsid w:val="00684683"/>
    <w:rsid w:val="00686DC8"/>
    <w:rsid w:val="0068716E"/>
    <w:rsid w:val="006923E5"/>
    <w:rsid w:val="006925F6"/>
    <w:rsid w:val="00692822"/>
    <w:rsid w:val="006930D6"/>
    <w:rsid w:val="00693ABB"/>
    <w:rsid w:val="00693E3E"/>
    <w:rsid w:val="006945FD"/>
    <w:rsid w:val="00695BC1"/>
    <w:rsid w:val="00697945"/>
    <w:rsid w:val="006A1479"/>
    <w:rsid w:val="006A2D46"/>
    <w:rsid w:val="006A39D0"/>
    <w:rsid w:val="006A656E"/>
    <w:rsid w:val="006A6D89"/>
    <w:rsid w:val="006B2340"/>
    <w:rsid w:val="006B43CE"/>
    <w:rsid w:val="006B737B"/>
    <w:rsid w:val="006C0EBA"/>
    <w:rsid w:val="006C17A2"/>
    <w:rsid w:val="006C3AF3"/>
    <w:rsid w:val="006C59A6"/>
    <w:rsid w:val="006C6E4F"/>
    <w:rsid w:val="006C7400"/>
    <w:rsid w:val="006D09AC"/>
    <w:rsid w:val="006D1AAA"/>
    <w:rsid w:val="006D2468"/>
    <w:rsid w:val="006D26B5"/>
    <w:rsid w:val="006D2A0D"/>
    <w:rsid w:val="006E09E7"/>
    <w:rsid w:val="006E198D"/>
    <w:rsid w:val="006E2277"/>
    <w:rsid w:val="006E3360"/>
    <w:rsid w:val="006E5C39"/>
    <w:rsid w:val="006E77B5"/>
    <w:rsid w:val="006F1B3E"/>
    <w:rsid w:val="006F1EFF"/>
    <w:rsid w:val="006F244A"/>
    <w:rsid w:val="006F2D1B"/>
    <w:rsid w:val="006F5E53"/>
    <w:rsid w:val="006F5E60"/>
    <w:rsid w:val="006F7B85"/>
    <w:rsid w:val="00701A2C"/>
    <w:rsid w:val="007054CC"/>
    <w:rsid w:val="00710B4F"/>
    <w:rsid w:val="007121E2"/>
    <w:rsid w:val="00713B4D"/>
    <w:rsid w:val="00714573"/>
    <w:rsid w:val="007157E6"/>
    <w:rsid w:val="00716CDF"/>
    <w:rsid w:val="00721091"/>
    <w:rsid w:val="007235DC"/>
    <w:rsid w:val="00726CA4"/>
    <w:rsid w:val="00730068"/>
    <w:rsid w:val="007319A3"/>
    <w:rsid w:val="00732F3A"/>
    <w:rsid w:val="00736766"/>
    <w:rsid w:val="00737A41"/>
    <w:rsid w:val="0074030E"/>
    <w:rsid w:val="00742E50"/>
    <w:rsid w:val="007437EE"/>
    <w:rsid w:val="007458CD"/>
    <w:rsid w:val="007536E3"/>
    <w:rsid w:val="007539D0"/>
    <w:rsid w:val="0075547E"/>
    <w:rsid w:val="0075699F"/>
    <w:rsid w:val="00757B75"/>
    <w:rsid w:val="007615EC"/>
    <w:rsid w:val="00762742"/>
    <w:rsid w:val="007632BD"/>
    <w:rsid w:val="00763D5E"/>
    <w:rsid w:val="00765E77"/>
    <w:rsid w:val="00765F6D"/>
    <w:rsid w:val="007722C7"/>
    <w:rsid w:val="007746D3"/>
    <w:rsid w:val="00774816"/>
    <w:rsid w:val="00775B95"/>
    <w:rsid w:val="007769BD"/>
    <w:rsid w:val="00777A0A"/>
    <w:rsid w:val="007836AE"/>
    <w:rsid w:val="0078376B"/>
    <w:rsid w:val="00785D9F"/>
    <w:rsid w:val="00790D78"/>
    <w:rsid w:val="0079155F"/>
    <w:rsid w:val="007924DA"/>
    <w:rsid w:val="007945FE"/>
    <w:rsid w:val="00795483"/>
    <w:rsid w:val="00796EA4"/>
    <w:rsid w:val="007A035A"/>
    <w:rsid w:val="007A0C41"/>
    <w:rsid w:val="007A38FD"/>
    <w:rsid w:val="007A3BFA"/>
    <w:rsid w:val="007A3EF1"/>
    <w:rsid w:val="007A4A0C"/>
    <w:rsid w:val="007A629E"/>
    <w:rsid w:val="007A6E87"/>
    <w:rsid w:val="007A6FDD"/>
    <w:rsid w:val="007A77E0"/>
    <w:rsid w:val="007B0F3A"/>
    <w:rsid w:val="007B1657"/>
    <w:rsid w:val="007B2210"/>
    <w:rsid w:val="007B3A5D"/>
    <w:rsid w:val="007B448E"/>
    <w:rsid w:val="007B7F30"/>
    <w:rsid w:val="007C033A"/>
    <w:rsid w:val="007C0C1B"/>
    <w:rsid w:val="007C21FF"/>
    <w:rsid w:val="007C26E6"/>
    <w:rsid w:val="007C2D0C"/>
    <w:rsid w:val="007C44DC"/>
    <w:rsid w:val="007C4F0C"/>
    <w:rsid w:val="007C58B6"/>
    <w:rsid w:val="007C62FC"/>
    <w:rsid w:val="007C699C"/>
    <w:rsid w:val="007D00FF"/>
    <w:rsid w:val="007D05DA"/>
    <w:rsid w:val="007D4710"/>
    <w:rsid w:val="007E5A45"/>
    <w:rsid w:val="007F28AC"/>
    <w:rsid w:val="007F4551"/>
    <w:rsid w:val="007F7111"/>
    <w:rsid w:val="008002FE"/>
    <w:rsid w:val="00801ABA"/>
    <w:rsid w:val="00801BC2"/>
    <w:rsid w:val="00802200"/>
    <w:rsid w:val="00802FB5"/>
    <w:rsid w:val="008049E5"/>
    <w:rsid w:val="0080596C"/>
    <w:rsid w:val="00810AD3"/>
    <w:rsid w:val="00811220"/>
    <w:rsid w:val="008118AB"/>
    <w:rsid w:val="00814C19"/>
    <w:rsid w:val="008164E2"/>
    <w:rsid w:val="008169DF"/>
    <w:rsid w:val="00821FF8"/>
    <w:rsid w:val="008232E6"/>
    <w:rsid w:val="008248E1"/>
    <w:rsid w:val="008266CC"/>
    <w:rsid w:val="008279EE"/>
    <w:rsid w:val="0083536B"/>
    <w:rsid w:val="00835407"/>
    <w:rsid w:val="0083756B"/>
    <w:rsid w:val="008438E8"/>
    <w:rsid w:val="00843BB9"/>
    <w:rsid w:val="00844033"/>
    <w:rsid w:val="00850678"/>
    <w:rsid w:val="00852332"/>
    <w:rsid w:val="00852BC7"/>
    <w:rsid w:val="00852F17"/>
    <w:rsid w:val="008563C1"/>
    <w:rsid w:val="00856727"/>
    <w:rsid w:val="008609B2"/>
    <w:rsid w:val="0086151D"/>
    <w:rsid w:val="00861B32"/>
    <w:rsid w:val="00861EE4"/>
    <w:rsid w:val="00861F41"/>
    <w:rsid w:val="00862ECC"/>
    <w:rsid w:val="00865716"/>
    <w:rsid w:val="0086594C"/>
    <w:rsid w:val="0087262B"/>
    <w:rsid w:val="0087404A"/>
    <w:rsid w:val="008748D7"/>
    <w:rsid w:val="00874AA4"/>
    <w:rsid w:val="0087625C"/>
    <w:rsid w:val="008823EF"/>
    <w:rsid w:val="00884EDB"/>
    <w:rsid w:val="00884EE1"/>
    <w:rsid w:val="008910AF"/>
    <w:rsid w:val="0089237C"/>
    <w:rsid w:val="00892940"/>
    <w:rsid w:val="00896E7A"/>
    <w:rsid w:val="0089760B"/>
    <w:rsid w:val="008A0CDE"/>
    <w:rsid w:val="008A11F2"/>
    <w:rsid w:val="008A1D6C"/>
    <w:rsid w:val="008A4B92"/>
    <w:rsid w:val="008A4FAA"/>
    <w:rsid w:val="008A5AA6"/>
    <w:rsid w:val="008A67B8"/>
    <w:rsid w:val="008A6881"/>
    <w:rsid w:val="008A6C5C"/>
    <w:rsid w:val="008B1469"/>
    <w:rsid w:val="008B1794"/>
    <w:rsid w:val="008B4722"/>
    <w:rsid w:val="008B4C90"/>
    <w:rsid w:val="008B540C"/>
    <w:rsid w:val="008C0EE3"/>
    <w:rsid w:val="008C18F1"/>
    <w:rsid w:val="008C3579"/>
    <w:rsid w:val="008C3B3A"/>
    <w:rsid w:val="008C6F61"/>
    <w:rsid w:val="008D3239"/>
    <w:rsid w:val="008D44BA"/>
    <w:rsid w:val="008D4755"/>
    <w:rsid w:val="008D5B18"/>
    <w:rsid w:val="008D5E97"/>
    <w:rsid w:val="008D7053"/>
    <w:rsid w:val="008E04A3"/>
    <w:rsid w:val="008E1451"/>
    <w:rsid w:val="008E3477"/>
    <w:rsid w:val="008F1534"/>
    <w:rsid w:val="008F4185"/>
    <w:rsid w:val="00900942"/>
    <w:rsid w:val="00900A6F"/>
    <w:rsid w:val="00900C16"/>
    <w:rsid w:val="00902623"/>
    <w:rsid w:val="00905399"/>
    <w:rsid w:val="00905646"/>
    <w:rsid w:val="00905AAC"/>
    <w:rsid w:val="0090641A"/>
    <w:rsid w:val="0091199B"/>
    <w:rsid w:val="009146D2"/>
    <w:rsid w:val="009167BF"/>
    <w:rsid w:val="0091721B"/>
    <w:rsid w:val="0091797B"/>
    <w:rsid w:val="0092048B"/>
    <w:rsid w:val="009214E7"/>
    <w:rsid w:val="00930C07"/>
    <w:rsid w:val="0093401A"/>
    <w:rsid w:val="00935196"/>
    <w:rsid w:val="00935426"/>
    <w:rsid w:val="00935EA6"/>
    <w:rsid w:val="00937657"/>
    <w:rsid w:val="009409AB"/>
    <w:rsid w:val="00940DF6"/>
    <w:rsid w:val="0094305F"/>
    <w:rsid w:val="0094364C"/>
    <w:rsid w:val="00943DFE"/>
    <w:rsid w:val="0094432D"/>
    <w:rsid w:val="009454AD"/>
    <w:rsid w:val="0094762E"/>
    <w:rsid w:val="00947C95"/>
    <w:rsid w:val="00947EA2"/>
    <w:rsid w:val="00954943"/>
    <w:rsid w:val="009556EA"/>
    <w:rsid w:val="00956E90"/>
    <w:rsid w:val="00960877"/>
    <w:rsid w:val="0096513E"/>
    <w:rsid w:val="0096722C"/>
    <w:rsid w:val="00967CCA"/>
    <w:rsid w:val="00971396"/>
    <w:rsid w:val="00971B97"/>
    <w:rsid w:val="00973BB6"/>
    <w:rsid w:val="0097552C"/>
    <w:rsid w:val="009764B2"/>
    <w:rsid w:val="009772CE"/>
    <w:rsid w:val="0097788E"/>
    <w:rsid w:val="009802E7"/>
    <w:rsid w:val="00980673"/>
    <w:rsid w:val="00980696"/>
    <w:rsid w:val="00980EE0"/>
    <w:rsid w:val="00981062"/>
    <w:rsid w:val="00982672"/>
    <w:rsid w:val="0098448C"/>
    <w:rsid w:val="009854D6"/>
    <w:rsid w:val="00986F47"/>
    <w:rsid w:val="009914E9"/>
    <w:rsid w:val="00991D48"/>
    <w:rsid w:val="00993265"/>
    <w:rsid w:val="00993EC5"/>
    <w:rsid w:val="0099472B"/>
    <w:rsid w:val="009950BE"/>
    <w:rsid w:val="00996B8D"/>
    <w:rsid w:val="00997103"/>
    <w:rsid w:val="009A09EF"/>
    <w:rsid w:val="009A0F7E"/>
    <w:rsid w:val="009A1826"/>
    <w:rsid w:val="009A2C6A"/>
    <w:rsid w:val="009A2D7B"/>
    <w:rsid w:val="009A3512"/>
    <w:rsid w:val="009A7548"/>
    <w:rsid w:val="009B24D0"/>
    <w:rsid w:val="009B257F"/>
    <w:rsid w:val="009B506E"/>
    <w:rsid w:val="009B6DAC"/>
    <w:rsid w:val="009B7B49"/>
    <w:rsid w:val="009C1BAE"/>
    <w:rsid w:val="009C2D20"/>
    <w:rsid w:val="009C33DA"/>
    <w:rsid w:val="009C71DC"/>
    <w:rsid w:val="009C7E62"/>
    <w:rsid w:val="009C7EB6"/>
    <w:rsid w:val="009D3D3C"/>
    <w:rsid w:val="009D5E29"/>
    <w:rsid w:val="009D66EF"/>
    <w:rsid w:val="009E043B"/>
    <w:rsid w:val="009E2011"/>
    <w:rsid w:val="009E2128"/>
    <w:rsid w:val="009E3F8E"/>
    <w:rsid w:val="009E4CC4"/>
    <w:rsid w:val="009E4E6D"/>
    <w:rsid w:val="009E640F"/>
    <w:rsid w:val="009F18FD"/>
    <w:rsid w:val="009F3258"/>
    <w:rsid w:val="009F34A4"/>
    <w:rsid w:val="009F4F10"/>
    <w:rsid w:val="009F6C4D"/>
    <w:rsid w:val="00A03440"/>
    <w:rsid w:val="00A03786"/>
    <w:rsid w:val="00A03A04"/>
    <w:rsid w:val="00A06CF7"/>
    <w:rsid w:val="00A11626"/>
    <w:rsid w:val="00A119C6"/>
    <w:rsid w:val="00A132CC"/>
    <w:rsid w:val="00A14697"/>
    <w:rsid w:val="00A17DD8"/>
    <w:rsid w:val="00A210F8"/>
    <w:rsid w:val="00A230AB"/>
    <w:rsid w:val="00A2349A"/>
    <w:rsid w:val="00A24C08"/>
    <w:rsid w:val="00A26B87"/>
    <w:rsid w:val="00A27FAC"/>
    <w:rsid w:val="00A3308C"/>
    <w:rsid w:val="00A3359C"/>
    <w:rsid w:val="00A34FFF"/>
    <w:rsid w:val="00A35A79"/>
    <w:rsid w:val="00A36E31"/>
    <w:rsid w:val="00A370F3"/>
    <w:rsid w:val="00A4291A"/>
    <w:rsid w:val="00A43DC3"/>
    <w:rsid w:val="00A44702"/>
    <w:rsid w:val="00A4630A"/>
    <w:rsid w:val="00A46B68"/>
    <w:rsid w:val="00A47569"/>
    <w:rsid w:val="00A5523E"/>
    <w:rsid w:val="00A552F5"/>
    <w:rsid w:val="00A60B15"/>
    <w:rsid w:val="00A628EA"/>
    <w:rsid w:val="00A6290A"/>
    <w:rsid w:val="00A6397F"/>
    <w:rsid w:val="00A63C22"/>
    <w:rsid w:val="00A64BBA"/>
    <w:rsid w:val="00A653D6"/>
    <w:rsid w:val="00A66D2F"/>
    <w:rsid w:val="00A67246"/>
    <w:rsid w:val="00A710C2"/>
    <w:rsid w:val="00A73296"/>
    <w:rsid w:val="00A73F0A"/>
    <w:rsid w:val="00A75935"/>
    <w:rsid w:val="00A765A1"/>
    <w:rsid w:val="00A80206"/>
    <w:rsid w:val="00A81780"/>
    <w:rsid w:val="00A8402A"/>
    <w:rsid w:val="00A84077"/>
    <w:rsid w:val="00A85FCB"/>
    <w:rsid w:val="00A86525"/>
    <w:rsid w:val="00A873B9"/>
    <w:rsid w:val="00A900CD"/>
    <w:rsid w:val="00A90CAF"/>
    <w:rsid w:val="00A90D0C"/>
    <w:rsid w:val="00A90D2C"/>
    <w:rsid w:val="00A90F67"/>
    <w:rsid w:val="00A96283"/>
    <w:rsid w:val="00A966F7"/>
    <w:rsid w:val="00AA0871"/>
    <w:rsid w:val="00AA3C71"/>
    <w:rsid w:val="00AB000E"/>
    <w:rsid w:val="00AB1867"/>
    <w:rsid w:val="00AB1C92"/>
    <w:rsid w:val="00AB1ED3"/>
    <w:rsid w:val="00AB280A"/>
    <w:rsid w:val="00AB5E66"/>
    <w:rsid w:val="00AC06EA"/>
    <w:rsid w:val="00AC1174"/>
    <w:rsid w:val="00AC7DC1"/>
    <w:rsid w:val="00AD212E"/>
    <w:rsid w:val="00AD3D0C"/>
    <w:rsid w:val="00AD58FD"/>
    <w:rsid w:val="00AD61F2"/>
    <w:rsid w:val="00AD6C9E"/>
    <w:rsid w:val="00AD7F88"/>
    <w:rsid w:val="00AE5345"/>
    <w:rsid w:val="00AE7A23"/>
    <w:rsid w:val="00AF00B8"/>
    <w:rsid w:val="00AF6AE8"/>
    <w:rsid w:val="00B019B5"/>
    <w:rsid w:val="00B03101"/>
    <w:rsid w:val="00B04448"/>
    <w:rsid w:val="00B0461C"/>
    <w:rsid w:val="00B11534"/>
    <w:rsid w:val="00B12CB7"/>
    <w:rsid w:val="00B158C6"/>
    <w:rsid w:val="00B2044F"/>
    <w:rsid w:val="00B20706"/>
    <w:rsid w:val="00B250B3"/>
    <w:rsid w:val="00B277F7"/>
    <w:rsid w:val="00B31C34"/>
    <w:rsid w:val="00B32A30"/>
    <w:rsid w:val="00B4123A"/>
    <w:rsid w:val="00B41510"/>
    <w:rsid w:val="00B42081"/>
    <w:rsid w:val="00B42958"/>
    <w:rsid w:val="00B440D5"/>
    <w:rsid w:val="00B44E47"/>
    <w:rsid w:val="00B44F61"/>
    <w:rsid w:val="00B451F8"/>
    <w:rsid w:val="00B46691"/>
    <w:rsid w:val="00B473E4"/>
    <w:rsid w:val="00B47ECA"/>
    <w:rsid w:val="00B5378F"/>
    <w:rsid w:val="00B54484"/>
    <w:rsid w:val="00B55E36"/>
    <w:rsid w:val="00B60341"/>
    <w:rsid w:val="00B608E6"/>
    <w:rsid w:val="00B61142"/>
    <w:rsid w:val="00B61DBC"/>
    <w:rsid w:val="00B6262B"/>
    <w:rsid w:val="00B626EB"/>
    <w:rsid w:val="00B638CD"/>
    <w:rsid w:val="00B6589B"/>
    <w:rsid w:val="00B723AB"/>
    <w:rsid w:val="00B7393F"/>
    <w:rsid w:val="00B73AAB"/>
    <w:rsid w:val="00B7418A"/>
    <w:rsid w:val="00B74773"/>
    <w:rsid w:val="00B74BC9"/>
    <w:rsid w:val="00B76D4A"/>
    <w:rsid w:val="00B8294A"/>
    <w:rsid w:val="00B82F6B"/>
    <w:rsid w:val="00B85F9C"/>
    <w:rsid w:val="00B8604B"/>
    <w:rsid w:val="00B86D2C"/>
    <w:rsid w:val="00B86D95"/>
    <w:rsid w:val="00B901C6"/>
    <w:rsid w:val="00B927FF"/>
    <w:rsid w:val="00B940A2"/>
    <w:rsid w:val="00BA0D67"/>
    <w:rsid w:val="00BA3AFE"/>
    <w:rsid w:val="00BA3FB8"/>
    <w:rsid w:val="00BA41E4"/>
    <w:rsid w:val="00BA4F2E"/>
    <w:rsid w:val="00BA5A06"/>
    <w:rsid w:val="00BA71E3"/>
    <w:rsid w:val="00BA781C"/>
    <w:rsid w:val="00BB0754"/>
    <w:rsid w:val="00BB084E"/>
    <w:rsid w:val="00BB3791"/>
    <w:rsid w:val="00BB4070"/>
    <w:rsid w:val="00BB53FD"/>
    <w:rsid w:val="00BB6EAA"/>
    <w:rsid w:val="00BC6820"/>
    <w:rsid w:val="00BC75D4"/>
    <w:rsid w:val="00BD0F9F"/>
    <w:rsid w:val="00BD28F6"/>
    <w:rsid w:val="00BD2FCF"/>
    <w:rsid w:val="00BD3CB8"/>
    <w:rsid w:val="00BD479D"/>
    <w:rsid w:val="00BD5A8E"/>
    <w:rsid w:val="00BD64A4"/>
    <w:rsid w:val="00BE2588"/>
    <w:rsid w:val="00BE312E"/>
    <w:rsid w:val="00BE69C4"/>
    <w:rsid w:val="00BF06E2"/>
    <w:rsid w:val="00BF0D39"/>
    <w:rsid w:val="00BF1037"/>
    <w:rsid w:val="00BF2689"/>
    <w:rsid w:val="00BF7AB5"/>
    <w:rsid w:val="00C0038A"/>
    <w:rsid w:val="00C0219C"/>
    <w:rsid w:val="00C02988"/>
    <w:rsid w:val="00C05B7B"/>
    <w:rsid w:val="00C12B4F"/>
    <w:rsid w:val="00C13301"/>
    <w:rsid w:val="00C13657"/>
    <w:rsid w:val="00C1562F"/>
    <w:rsid w:val="00C15D6D"/>
    <w:rsid w:val="00C16455"/>
    <w:rsid w:val="00C20EC0"/>
    <w:rsid w:val="00C250C3"/>
    <w:rsid w:val="00C25CE4"/>
    <w:rsid w:val="00C305EF"/>
    <w:rsid w:val="00C30F3B"/>
    <w:rsid w:val="00C33182"/>
    <w:rsid w:val="00C33CE1"/>
    <w:rsid w:val="00C35C10"/>
    <w:rsid w:val="00C3605F"/>
    <w:rsid w:val="00C37795"/>
    <w:rsid w:val="00C4317C"/>
    <w:rsid w:val="00C4323A"/>
    <w:rsid w:val="00C432C3"/>
    <w:rsid w:val="00C46A46"/>
    <w:rsid w:val="00C50520"/>
    <w:rsid w:val="00C5065A"/>
    <w:rsid w:val="00C522AC"/>
    <w:rsid w:val="00C53B3C"/>
    <w:rsid w:val="00C54267"/>
    <w:rsid w:val="00C54D63"/>
    <w:rsid w:val="00C56AAD"/>
    <w:rsid w:val="00C60186"/>
    <w:rsid w:val="00C61931"/>
    <w:rsid w:val="00C62FA5"/>
    <w:rsid w:val="00C666D7"/>
    <w:rsid w:val="00C70673"/>
    <w:rsid w:val="00C719D3"/>
    <w:rsid w:val="00C72BED"/>
    <w:rsid w:val="00C75C7A"/>
    <w:rsid w:val="00C76438"/>
    <w:rsid w:val="00C7795D"/>
    <w:rsid w:val="00C77E82"/>
    <w:rsid w:val="00C80AA7"/>
    <w:rsid w:val="00C8161A"/>
    <w:rsid w:val="00C82F08"/>
    <w:rsid w:val="00C839A8"/>
    <w:rsid w:val="00C83C8F"/>
    <w:rsid w:val="00C90D34"/>
    <w:rsid w:val="00C91422"/>
    <w:rsid w:val="00C9272E"/>
    <w:rsid w:val="00C93782"/>
    <w:rsid w:val="00C93D07"/>
    <w:rsid w:val="00C94744"/>
    <w:rsid w:val="00C96A60"/>
    <w:rsid w:val="00CA2A36"/>
    <w:rsid w:val="00CA6802"/>
    <w:rsid w:val="00CB04C1"/>
    <w:rsid w:val="00CB4734"/>
    <w:rsid w:val="00CB5244"/>
    <w:rsid w:val="00CB66BB"/>
    <w:rsid w:val="00CC0389"/>
    <w:rsid w:val="00CC0637"/>
    <w:rsid w:val="00CC0905"/>
    <w:rsid w:val="00CC17AA"/>
    <w:rsid w:val="00CC3D19"/>
    <w:rsid w:val="00CC3D97"/>
    <w:rsid w:val="00CC5DFD"/>
    <w:rsid w:val="00CC6E11"/>
    <w:rsid w:val="00CC70C7"/>
    <w:rsid w:val="00CC7938"/>
    <w:rsid w:val="00CD3443"/>
    <w:rsid w:val="00CD7106"/>
    <w:rsid w:val="00CE07A6"/>
    <w:rsid w:val="00CE2268"/>
    <w:rsid w:val="00CE2AC6"/>
    <w:rsid w:val="00CE3C57"/>
    <w:rsid w:val="00CE697B"/>
    <w:rsid w:val="00CE7C29"/>
    <w:rsid w:val="00D014F0"/>
    <w:rsid w:val="00D01ECC"/>
    <w:rsid w:val="00D031D8"/>
    <w:rsid w:val="00D032DC"/>
    <w:rsid w:val="00D03F18"/>
    <w:rsid w:val="00D0481A"/>
    <w:rsid w:val="00D04B96"/>
    <w:rsid w:val="00D05ECF"/>
    <w:rsid w:val="00D0611A"/>
    <w:rsid w:val="00D07BA5"/>
    <w:rsid w:val="00D12C28"/>
    <w:rsid w:val="00D13D4C"/>
    <w:rsid w:val="00D1592C"/>
    <w:rsid w:val="00D15B37"/>
    <w:rsid w:val="00D16743"/>
    <w:rsid w:val="00D17443"/>
    <w:rsid w:val="00D20199"/>
    <w:rsid w:val="00D20B88"/>
    <w:rsid w:val="00D213F4"/>
    <w:rsid w:val="00D222CA"/>
    <w:rsid w:val="00D226C7"/>
    <w:rsid w:val="00D27B71"/>
    <w:rsid w:val="00D32B40"/>
    <w:rsid w:val="00D35BAB"/>
    <w:rsid w:val="00D3606B"/>
    <w:rsid w:val="00D37425"/>
    <w:rsid w:val="00D37CC2"/>
    <w:rsid w:val="00D41B01"/>
    <w:rsid w:val="00D43526"/>
    <w:rsid w:val="00D43EFF"/>
    <w:rsid w:val="00D447B6"/>
    <w:rsid w:val="00D4656B"/>
    <w:rsid w:val="00D46FDF"/>
    <w:rsid w:val="00D50AF0"/>
    <w:rsid w:val="00D5364B"/>
    <w:rsid w:val="00D54E0D"/>
    <w:rsid w:val="00D54E82"/>
    <w:rsid w:val="00D57824"/>
    <w:rsid w:val="00D624C2"/>
    <w:rsid w:val="00D6310F"/>
    <w:rsid w:val="00D65D8D"/>
    <w:rsid w:val="00D66D81"/>
    <w:rsid w:val="00D67DC6"/>
    <w:rsid w:val="00D70E59"/>
    <w:rsid w:val="00D720D5"/>
    <w:rsid w:val="00D72ACB"/>
    <w:rsid w:val="00D73BE8"/>
    <w:rsid w:val="00D75E5C"/>
    <w:rsid w:val="00D763C7"/>
    <w:rsid w:val="00D76F75"/>
    <w:rsid w:val="00D8047B"/>
    <w:rsid w:val="00D826E0"/>
    <w:rsid w:val="00D832A8"/>
    <w:rsid w:val="00D84D0D"/>
    <w:rsid w:val="00D84E6F"/>
    <w:rsid w:val="00D865F6"/>
    <w:rsid w:val="00D86897"/>
    <w:rsid w:val="00D86958"/>
    <w:rsid w:val="00D9209F"/>
    <w:rsid w:val="00D94FC6"/>
    <w:rsid w:val="00D96FC8"/>
    <w:rsid w:val="00D9786D"/>
    <w:rsid w:val="00DA32CA"/>
    <w:rsid w:val="00DA73B1"/>
    <w:rsid w:val="00DB1F82"/>
    <w:rsid w:val="00DB4693"/>
    <w:rsid w:val="00DC0863"/>
    <w:rsid w:val="00DC4FAD"/>
    <w:rsid w:val="00DC767D"/>
    <w:rsid w:val="00DD1DB1"/>
    <w:rsid w:val="00DD3788"/>
    <w:rsid w:val="00DD3AD5"/>
    <w:rsid w:val="00DD4E69"/>
    <w:rsid w:val="00DD5273"/>
    <w:rsid w:val="00DE1558"/>
    <w:rsid w:val="00DE1DAC"/>
    <w:rsid w:val="00DE285A"/>
    <w:rsid w:val="00DE63BF"/>
    <w:rsid w:val="00DE72ED"/>
    <w:rsid w:val="00DE78AB"/>
    <w:rsid w:val="00DF1063"/>
    <w:rsid w:val="00DF138D"/>
    <w:rsid w:val="00DF1421"/>
    <w:rsid w:val="00DF4EC7"/>
    <w:rsid w:val="00DF698F"/>
    <w:rsid w:val="00E00196"/>
    <w:rsid w:val="00E00487"/>
    <w:rsid w:val="00E011A3"/>
    <w:rsid w:val="00E04C5A"/>
    <w:rsid w:val="00E05016"/>
    <w:rsid w:val="00E07712"/>
    <w:rsid w:val="00E10310"/>
    <w:rsid w:val="00E20EFF"/>
    <w:rsid w:val="00E23066"/>
    <w:rsid w:val="00E267E3"/>
    <w:rsid w:val="00E26EED"/>
    <w:rsid w:val="00E26FF8"/>
    <w:rsid w:val="00E27465"/>
    <w:rsid w:val="00E277D4"/>
    <w:rsid w:val="00E27D23"/>
    <w:rsid w:val="00E33473"/>
    <w:rsid w:val="00E34801"/>
    <w:rsid w:val="00E34DE9"/>
    <w:rsid w:val="00E3629C"/>
    <w:rsid w:val="00E36F56"/>
    <w:rsid w:val="00E373B1"/>
    <w:rsid w:val="00E45111"/>
    <w:rsid w:val="00E45A15"/>
    <w:rsid w:val="00E47E00"/>
    <w:rsid w:val="00E50416"/>
    <w:rsid w:val="00E511C3"/>
    <w:rsid w:val="00E512DA"/>
    <w:rsid w:val="00E52F58"/>
    <w:rsid w:val="00E57659"/>
    <w:rsid w:val="00E6015C"/>
    <w:rsid w:val="00E60A34"/>
    <w:rsid w:val="00E61E74"/>
    <w:rsid w:val="00E6407D"/>
    <w:rsid w:val="00E65E4D"/>
    <w:rsid w:val="00E6662B"/>
    <w:rsid w:val="00E66862"/>
    <w:rsid w:val="00E70817"/>
    <w:rsid w:val="00E71DA6"/>
    <w:rsid w:val="00E74B42"/>
    <w:rsid w:val="00E74E24"/>
    <w:rsid w:val="00E77B6C"/>
    <w:rsid w:val="00E8180F"/>
    <w:rsid w:val="00E824B6"/>
    <w:rsid w:val="00E8450C"/>
    <w:rsid w:val="00E85455"/>
    <w:rsid w:val="00E85A4F"/>
    <w:rsid w:val="00E86A37"/>
    <w:rsid w:val="00E87CFD"/>
    <w:rsid w:val="00E92141"/>
    <w:rsid w:val="00E92F10"/>
    <w:rsid w:val="00E941F3"/>
    <w:rsid w:val="00E95D94"/>
    <w:rsid w:val="00EA0BAC"/>
    <w:rsid w:val="00EA0DCF"/>
    <w:rsid w:val="00EA1FFB"/>
    <w:rsid w:val="00EA6AA3"/>
    <w:rsid w:val="00EB3865"/>
    <w:rsid w:val="00EB504E"/>
    <w:rsid w:val="00EB5B2A"/>
    <w:rsid w:val="00EC02DF"/>
    <w:rsid w:val="00EC0A68"/>
    <w:rsid w:val="00EC27D2"/>
    <w:rsid w:val="00EC493C"/>
    <w:rsid w:val="00EC64D2"/>
    <w:rsid w:val="00EC6804"/>
    <w:rsid w:val="00EC6D9B"/>
    <w:rsid w:val="00ED0968"/>
    <w:rsid w:val="00ED19A8"/>
    <w:rsid w:val="00ED2FDC"/>
    <w:rsid w:val="00ED4728"/>
    <w:rsid w:val="00ED5E34"/>
    <w:rsid w:val="00ED6EC4"/>
    <w:rsid w:val="00ED7E92"/>
    <w:rsid w:val="00EE3710"/>
    <w:rsid w:val="00EE4140"/>
    <w:rsid w:val="00EE42D1"/>
    <w:rsid w:val="00EE6035"/>
    <w:rsid w:val="00EE66CA"/>
    <w:rsid w:val="00EE7BEA"/>
    <w:rsid w:val="00EF2FF9"/>
    <w:rsid w:val="00EF3894"/>
    <w:rsid w:val="00EF46EF"/>
    <w:rsid w:val="00EF4AA6"/>
    <w:rsid w:val="00EF6BB3"/>
    <w:rsid w:val="00F0145B"/>
    <w:rsid w:val="00F018C0"/>
    <w:rsid w:val="00F0448A"/>
    <w:rsid w:val="00F04D4B"/>
    <w:rsid w:val="00F06F91"/>
    <w:rsid w:val="00F07BD7"/>
    <w:rsid w:val="00F10D4E"/>
    <w:rsid w:val="00F119A2"/>
    <w:rsid w:val="00F12352"/>
    <w:rsid w:val="00F128A9"/>
    <w:rsid w:val="00F142B1"/>
    <w:rsid w:val="00F14835"/>
    <w:rsid w:val="00F15367"/>
    <w:rsid w:val="00F15966"/>
    <w:rsid w:val="00F20A90"/>
    <w:rsid w:val="00F2478B"/>
    <w:rsid w:val="00F2564B"/>
    <w:rsid w:val="00F3596B"/>
    <w:rsid w:val="00F375F1"/>
    <w:rsid w:val="00F4194C"/>
    <w:rsid w:val="00F41C42"/>
    <w:rsid w:val="00F44DD2"/>
    <w:rsid w:val="00F477BD"/>
    <w:rsid w:val="00F47C9A"/>
    <w:rsid w:val="00F52B7B"/>
    <w:rsid w:val="00F5623C"/>
    <w:rsid w:val="00F5696C"/>
    <w:rsid w:val="00F6125A"/>
    <w:rsid w:val="00F61A48"/>
    <w:rsid w:val="00F6663F"/>
    <w:rsid w:val="00F66F84"/>
    <w:rsid w:val="00F7297C"/>
    <w:rsid w:val="00F7324F"/>
    <w:rsid w:val="00F73936"/>
    <w:rsid w:val="00F74B78"/>
    <w:rsid w:val="00F7525A"/>
    <w:rsid w:val="00F76A3A"/>
    <w:rsid w:val="00F8035F"/>
    <w:rsid w:val="00F810A1"/>
    <w:rsid w:val="00F82E79"/>
    <w:rsid w:val="00F82EC1"/>
    <w:rsid w:val="00F8356E"/>
    <w:rsid w:val="00F858AE"/>
    <w:rsid w:val="00F90472"/>
    <w:rsid w:val="00F92226"/>
    <w:rsid w:val="00F93A77"/>
    <w:rsid w:val="00F97014"/>
    <w:rsid w:val="00FA26DE"/>
    <w:rsid w:val="00FA4032"/>
    <w:rsid w:val="00FA43D4"/>
    <w:rsid w:val="00FA5053"/>
    <w:rsid w:val="00FA582A"/>
    <w:rsid w:val="00FA5A1B"/>
    <w:rsid w:val="00FA66AE"/>
    <w:rsid w:val="00FA75C1"/>
    <w:rsid w:val="00FB7D4E"/>
    <w:rsid w:val="00FB7FB8"/>
    <w:rsid w:val="00FC2860"/>
    <w:rsid w:val="00FC51B5"/>
    <w:rsid w:val="00FD20D9"/>
    <w:rsid w:val="00FD3C04"/>
    <w:rsid w:val="00FD477A"/>
    <w:rsid w:val="00FD6886"/>
    <w:rsid w:val="00FE3B4E"/>
    <w:rsid w:val="00FE3EA9"/>
    <w:rsid w:val="00FE75FF"/>
    <w:rsid w:val="00FE7B10"/>
    <w:rsid w:val="00FF61A4"/>
    <w:rsid w:val="00FF6A08"/>
    <w:rsid w:val="01359212"/>
    <w:rsid w:val="017994F4"/>
    <w:rsid w:val="0193B233"/>
    <w:rsid w:val="01B02CF5"/>
    <w:rsid w:val="02550E41"/>
    <w:rsid w:val="02709DFE"/>
    <w:rsid w:val="02B9B411"/>
    <w:rsid w:val="03618D11"/>
    <w:rsid w:val="04FB64CE"/>
    <w:rsid w:val="052875CA"/>
    <w:rsid w:val="059B0FFD"/>
    <w:rsid w:val="06C2B6AF"/>
    <w:rsid w:val="0724D8EB"/>
    <w:rsid w:val="07E964E9"/>
    <w:rsid w:val="0830F330"/>
    <w:rsid w:val="08DF6DFA"/>
    <w:rsid w:val="096217BC"/>
    <w:rsid w:val="0A103DC1"/>
    <w:rsid w:val="0A124486"/>
    <w:rsid w:val="0A4306B1"/>
    <w:rsid w:val="0B7D8B90"/>
    <w:rsid w:val="0BA44B34"/>
    <w:rsid w:val="0E1AFFBC"/>
    <w:rsid w:val="0E56D098"/>
    <w:rsid w:val="105790D3"/>
    <w:rsid w:val="11EA8342"/>
    <w:rsid w:val="12588CB6"/>
    <w:rsid w:val="135DDE20"/>
    <w:rsid w:val="14F1E010"/>
    <w:rsid w:val="15DCC548"/>
    <w:rsid w:val="1648BA20"/>
    <w:rsid w:val="167C10D6"/>
    <w:rsid w:val="167E522C"/>
    <w:rsid w:val="17B90439"/>
    <w:rsid w:val="18B5A4F5"/>
    <w:rsid w:val="1962E1BC"/>
    <w:rsid w:val="1ABA758A"/>
    <w:rsid w:val="1BBEE06B"/>
    <w:rsid w:val="1C5645EB"/>
    <w:rsid w:val="1D1ED0C9"/>
    <w:rsid w:val="1D8A76DE"/>
    <w:rsid w:val="1DBC07E7"/>
    <w:rsid w:val="1EDE502C"/>
    <w:rsid w:val="1F24E679"/>
    <w:rsid w:val="1F26473F"/>
    <w:rsid w:val="1F2BBD32"/>
    <w:rsid w:val="1FDACB86"/>
    <w:rsid w:val="20399F7B"/>
    <w:rsid w:val="20C898CD"/>
    <w:rsid w:val="21177335"/>
    <w:rsid w:val="2170B1CE"/>
    <w:rsid w:val="21E11129"/>
    <w:rsid w:val="21E31F79"/>
    <w:rsid w:val="23EC3BBB"/>
    <w:rsid w:val="23F9B862"/>
    <w:rsid w:val="247AA05C"/>
    <w:rsid w:val="24A85290"/>
    <w:rsid w:val="25535100"/>
    <w:rsid w:val="25F9046C"/>
    <w:rsid w:val="2945581D"/>
    <w:rsid w:val="2A53272A"/>
    <w:rsid w:val="2AE6EACE"/>
    <w:rsid w:val="2B439DBD"/>
    <w:rsid w:val="2D8BB938"/>
    <w:rsid w:val="2DE122DC"/>
    <w:rsid w:val="2E7F3CB8"/>
    <w:rsid w:val="31016BA0"/>
    <w:rsid w:val="33917C9D"/>
    <w:rsid w:val="3427362E"/>
    <w:rsid w:val="35080FE6"/>
    <w:rsid w:val="35C38018"/>
    <w:rsid w:val="382D4406"/>
    <w:rsid w:val="3990B88D"/>
    <w:rsid w:val="39DDB8CB"/>
    <w:rsid w:val="3BA1C77F"/>
    <w:rsid w:val="3C2A167C"/>
    <w:rsid w:val="3C2F005E"/>
    <w:rsid w:val="3C59FCCF"/>
    <w:rsid w:val="3C946B61"/>
    <w:rsid w:val="3CFC09D4"/>
    <w:rsid w:val="3DC07CF8"/>
    <w:rsid w:val="3E0D5AD3"/>
    <w:rsid w:val="3EC91E21"/>
    <w:rsid w:val="3F52A67F"/>
    <w:rsid w:val="40332790"/>
    <w:rsid w:val="40D9F687"/>
    <w:rsid w:val="4242402A"/>
    <w:rsid w:val="425F7E02"/>
    <w:rsid w:val="436CB7B1"/>
    <w:rsid w:val="437645AD"/>
    <w:rsid w:val="43B0290F"/>
    <w:rsid w:val="43B2F131"/>
    <w:rsid w:val="440ACC55"/>
    <w:rsid w:val="445E8CE2"/>
    <w:rsid w:val="45E428CD"/>
    <w:rsid w:val="48293CE3"/>
    <w:rsid w:val="484028D4"/>
    <w:rsid w:val="490FB9DF"/>
    <w:rsid w:val="4A0D8A3E"/>
    <w:rsid w:val="4AA1E167"/>
    <w:rsid w:val="4B36C41E"/>
    <w:rsid w:val="4BBFE8E3"/>
    <w:rsid w:val="4C24EE2D"/>
    <w:rsid w:val="4CCFEEDC"/>
    <w:rsid w:val="4E353BB8"/>
    <w:rsid w:val="4E9A1FB8"/>
    <w:rsid w:val="4ECDC9DC"/>
    <w:rsid w:val="4F0310A3"/>
    <w:rsid w:val="4FA45CE3"/>
    <w:rsid w:val="4FBB8451"/>
    <w:rsid w:val="50D1DB50"/>
    <w:rsid w:val="5126613E"/>
    <w:rsid w:val="523A8270"/>
    <w:rsid w:val="524AD268"/>
    <w:rsid w:val="52C7959B"/>
    <w:rsid w:val="53581DEB"/>
    <w:rsid w:val="53A1624E"/>
    <w:rsid w:val="53D053EC"/>
    <w:rsid w:val="54029B31"/>
    <w:rsid w:val="54330845"/>
    <w:rsid w:val="543BB481"/>
    <w:rsid w:val="54B51572"/>
    <w:rsid w:val="5651E1A4"/>
    <w:rsid w:val="56570999"/>
    <w:rsid w:val="565FBA19"/>
    <w:rsid w:val="5695EF40"/>
    <w:rsid w:val="58581D9E"/>
    <w:rsid w:val="5A01F57C"/>
    <w:rsid w:val="5A72A047"/>
    <w:rsid w:val="5B55B2AB"/>
    <w:rsid w:val="5BC8DB6B"/>
    <w:rsid w:val="5BFCDD97"/>
    <w:rsid w:val="5DC6FAF7"/>
    <w:rsid w:val="5DCFD7F3"/>
    <w:rsid w:val="5DD49656"/>
    <w:rsid w:val="5DEB89E0"/>
    <w:rsid w:val="5E6FBC02"/>
    <w:rsid w:val="5ED3FCFD"/>
    <w:rsid w:val="5F62E1E6"/>
    <w:rsid w:val="5F6E4D00"/>
    <w:rsid w:val="60AD1408"/>
    <w:rsid w:val="614BC357"/>
    <w:rsid w:val="617D41B5"/>
    <w:rsid w:val="6224829D"/>
    <w:rsid w:val="62F2C2D7"/>
    <w:rsid w:val="63CCED33"/>
    <w:rsid w:val="65451B10"/>
    <w:rsid w:val="664FEDF0"/>
    <w:rsid w:val="676DF3CB"/>
    <w:rsid w:val="6974D2C9"/>
    <w:rsid w:val="69B90E08"/>
    <w:rsid w:val="69BA54C1"/>
    <w:rsid w:val="6A9E3DC9"/>
    <w:rsid w:val="6B277F52"/>
    <w:rsid w:val="6BA375CC"/>
    <w:rsid w:val="6BC5F0E5"/>
    <w:rsid w:val="6C11BD18"/>
    <w:rsid w:val="6C90D010"/>
    <w:rsid w:val="6DB15B85"/>
    <w:rsid w:val="6DC40CF2"/>
    <w:rsid w:val="6E4E3B27"/>
    <w:rsid w:val="6F0DBD28"/>
    <w:rsid w:val="70617058"/>
    <w:rsid w:val="70E5EAE9"/>
    <w:rsid w:val="710BC52E"/>
    <w:rsid w:val="7198CAF0"/>
    <w:rsid w:val="72C084CE"/>
    <w:rsid w:val="730AA2D9"/>
    <w:rsid w:val="7424BFFB"/>
    <w:rsid w:val="744365F0"/>
    <w:rsid w:val="74686549"/>
    <w:rsid w:val="7491AB2B"/>
    <w:rsid w:val="7581B549"/>
    <w:rsid w:val="76483EF6"/>
    <w:rsid w:val="765BDF33"/>
    <w:rsid w:val="769DED64"/>
    <w:rsid w:val="778CB1C3"/>
    <w:rsid w:val="77AEB737"/>
    <w:rsid w:val="77C94BED"/>
    <w:rsid w:val="7A5DF7E5"/>
    <w:rsid w:val="7AD3E58F"/>
    <w:rsid w:val="7C52B0CD"/>
    <w:rsid w:val="7C9CBD10"/>
    <w:rsid w:val="7D83A000"/>
    <w:rsid w:val="7DE4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D0E4FB"/>
  <w15:chartTrackingRefBased/>
  <w15:docId w15:val="{62EADF8B-0676-4ECE-AEDF-F0DB7FC9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E7"/>
  </w:style>
  <w:style w:type="paragraph" w:styleId="Heading1">
    <w:name w:val="heading 1"/>
    <w:aliases w:val="Naslov 1 Strategija"/>
    <w:basedOn w:val="Normal"/>
    <w:next w:val="Normal"/>
    <w:link w:val="Heading1Char"/>
    <w:uiPriority w:val="9"/>
    <w:qFormat/>
    <w:rsid w:val="00CC0637"/>
    <w:pPr>
      <w:keepNext/>
      <w:keepLines/>
      <w:spacing w:before="120" w:after="240" w:line="271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aliases w:val="Podnaslov Strategija"/>
    <w:basedOn w:val="Normal"/>
    <w:next w:val="Normal"/>
    <w:link w:val="Heading2Char"/>
    <w:uiPriority w:val="9"/>
    <w:unhideWhenUsed/>
    <w:qFormat/>
    <w:rsid w:val="00850678"/>
    <w:pPr>
      <w:keepNext/>
      <w:keepLines/>
      <w:spacing w:before="120" w:after="120" w:line="271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678"/>
    <w:pPr>
      <w:keepNext/>
      <w:keepLines/>
      <w:spacing w:before="40" w:after="0" w:line="271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77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77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7C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3B3A"/>
    <w:rPr>
      <w:color w:val="0563C1" w:themeColor="hyperlink"/>
      <w:u w:val="single"/>
    </w:rPr>
  </w:style>
  <w:style w:type="paragraph" w:styleId="FootnoteText">
    <w:name w:val="footnote text"/>
    <w:aliases w:val="Footnote text,Fussnote,stile 1,Fußnote,Podrozdział,Footnote Text Char Char,Footnote Text Char1 Char Char,Footnote Text Char Char Char Char,Footnote Text Char Char1,Char Char,Sprotna opomba - besedilo Znak1,Tekst przypis,o,Char,Märk,f,ft,fn"/>
    <w:basedOn w:val="Normal"/>
    <w:link w:val="FootnoteTextChar"/>
    <w:uiPriority w:val="99"/>
    <w:unhideWhenUsed/>
    <w:qFormat/>
    <w:rsid w:val="008C3B3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Footnote text Char,Fussnote Char,stile 1 Char,Fußnote Char,Podrozdział Char,Footnote Text Char Char Char,Footnote Text Char1 Char Char Char,Footnote Text Char Char Char Char Char,Footnote Text Char Char1 Char,Char Char Char,o Char"/>
    <w:basedOn w:val="DefaultParagraphFont"/>
    <w:link w:val="FootnoteText"/>
    <w:uiPriority w:val="99"/>
    <w:qFormat/>
    <w:rsid w:val="008C3B3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C3B3A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8C3B3A"/>
    <w:pPr>
      <w:ind w:left="720"/>
      <w:contextualSpacing/>
    </w:pPr>
  </w:style>
  <w:style w:type="character" w:customStyle="1" w:styleId="Stil11pt">
    <w:name w:val="Stil 11 pt"/>
    <w:rsid w:val="008C3B3A"/>
    <w:rPr>
      <w:sz w:val="22"/>
    </w:rPr>
  </w:style>
  <w:style w:type="table" w:styleId="GridTable1Light-Accent1">
    <w:name w:val="Grid Table 1 Light Accent 1"/>
    <w:basedOn w:val="TableNormal"/>
    <w:uiPriority w:val="46"/>
    <w:rsid w:val="00D75E5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1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1197"/>
    <w:rPr>
      <w:rFonts w:ascii="Times New Roman" w:eastAsia="Times New Roman" w:hAnsi="Times New Roman" w:cs="Times New Roman"/>
      <w:sz w:val="20"/>
      <w:szCs w:val="20"/>
    </w:rPr>
  </w:style>
  <w:style w:type="paragraph" w:customStyle="1" w:styleId="posebnicilj">
    <w:name w:val="posebni cilj"/>
    <w:basedOn w:val="ListParagraph"/>
    <w:link w:val="posebniciljChar"/>
    <w:qFormat/>
    <w:rsid w:val="00683748"/>
    <w:pPr>
      <w:numPr>
        <w:numId w:val="18"/>
      </w:numPr>
    </w:pPr>
    <w:rPr>
      <w:rFonts w:ascii="Times New Roman" w:hAnsi="Times New Roman" w:cs="Times New Roman"/>
      <w:b/>
      <w:color w:val="1F4E79" w:themeColor="accent1" w:themeShade="80"/>
      <w:sz w:val="24"/>
      <w:szCs w:val="24"/>
    </w:rPr>
  </w:style>
  <w:style w:type="character" w:customStyle="1" w:styleId="posebniciljChar">
    <w:name w:val="posebni cilj Char"/>
    <w:basedOn w:val="DefaultParagraphFont"/>
    <w:link w:val="posebnicilj"/>
    <w:rsid w:val="00683748"/>
    <w:rPr>
      <w:rFonts w:ascii="Times New Roman" w:hAnsi="Times New Roman" w:cs="Times New Roman"/>
      <w:b/>
      <w:color w:val="1F4E79" w:themeColor="accent1" w:themeShade="8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94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4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4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454AD"/>
  </w:style>
  <w:style w:type="table" w:customStyle="1" w:styleId="TableGrid2">
    <w:name w:val="Table Grid2"/>
    <w:basedOn w:val="TableNormal"/>
    <w:next w:val="TableGrid"/>
    <w:uiPriority w:val="39"/>
    <w:rsid w:val="0095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477"/>
  </w:style>
  <w:style w:type="paragraph" w:styleId="Footer">
    <w:name w:val="footer"/>
    <w:basedOn w:val="Normal"/>
    <w:link w:val="FooterChar"/>
    <w:uiPriority w:val="99"/>
    <w:unhideWhenUsed/>
    <w:rsid w:val="008E3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477"/>
  </w:style>
  <w:style w:type="table" w:customStyle="1" w:styleId="TableGrid11">
    <w:name w:val="Table Grid11"/>
    <w:basedOn w:val="TableNormal"/>
    <w:next w:val="TableGrid"/>
    <w:uiPriority w:val="39"/>
    <w:rsid w:val="0064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5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48F2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8C18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18F1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7E3"/>
    <w:rPr>
      <w:color w:val="605E5C"/>
      <w:shd w:val="clear" w:color="auto" w:fill="E1DFDD"/>
    </w:rPr>
  </w:style>
  <w:style w:type="character" w:customStyle="1" w:styleId="Heading1Char">
    <w:name w:val="Heading 1 Char"/>
    <w:aliases w:val="Naslov 1 Strategija Char"/>
    <w:basedOn w:val="DefaultParagraphFont"/>
    <w:link w:val="Heading1"/>
    <w:uiPriority w:val="9"/>
    <w:rsid w:val="00CC0637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0678"/>
    <w:pPr>
      <w:outlineLvl w:val="9"/>
    </w:pPr>
    <w:rPr>
      <w:lang w:val="en-US"/>
    </w:rPr>
  </w:style>
  <w:style w:type="character" w:customStyle="1" w:styleId="Heading2Char">
    <w:name w:val="Heading 2 Char"/>
    <w:aliases w:val="Podnaslov Strategija Char"/>
    <w:basedOn w:val="DefaultParagraphFont"/>
    <w:link w:val="Heading2"/>
    <w:uiPriority w:val="9"/>
    <w:rsid w:val="0085067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0678"/>
    <w:rPr>
      <w:rFonts w:ascii="Times New Roman" w:eastAsiaTheme="majorEastAsia" w:hAnsi="Times New Roman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A03786"/>
    <w:pPr>
      <w:spacing w:after="100"/>
    </w:pPr>
    <w:rPr>
      <w:rFonts w:ascii="Times New Roman" w:hAnsi="Times New Roman"/>
      <w:b/>
    </w:rPr>
  </w:style>
  <w:style w:type="paragraph" w:styleId="TOC2">
    <w:name w:val="toc 2"/>
    <w:basedOn w:val="Normal"/>
    <w:next w:val="Normal"/>
    <w:autoRedefine/>
    <w:uiPriority w:val="39"/>
    <w:unhideWhenUsed/>
    <w:rsid w:val="00A03786"/>
    <w:pPr>
      <w:spacing w:after="100"/>
      <w:ind w:left="220"/>
    </w:pPr>
    <w:rPr>
      <w:rFonts w:ascii="Times New Roman" w:hAnsi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A03786"/>
    <w:pPr>
      <w:spacing w:after="100"/>
      <w:ind w:left="440"/>
    </w:pPr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2577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5770D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Style1Vita33">
    <w:name w:val="Style1_Vita33"/>
    <w:basedOn w:val="TableNormal"/>
    <w:uiPriority w:val="99"/>
    <w:rsid w:val="00940DF6"/>
    <w:pPr>
      <w:spacing w:before="40" w:after="40" w:line="276" w:lineRule="auto"/>
      <w:jc w:val="center"/>
    </w:pPr>
    <w:rPr>
      <w:rFonts w:ascii="Verdana" w:eastAsia="MS Mincho" w:hAnsi="Verdana" w:cs="Arial"/>
      <w:sz w:val="16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Verdana" w:hAnsi="Verdana"/>
        <w:b/>
        <w:color w:val="FFFFFF"/>
        <w:sz w:val="16"/>
      </w:rPr>
      <w:tblPr/>
      <w:tcPr>
        <w:shd w:val="clear" w:color="auto" w:fill="538135"/>
        <w:vAlign w:val="center"/>
      </w:tcPr>
    </w:tblStylePr>
  </w:style>
  <w:style w:type="table" w:customStyle="1" w:styleId="Style1Vita32">
    <w:name w:val="Style1_Vita32"/>
    <w:basedOn w:val="TableNormal"/>
    <w:uiPriority w:val="99"/>
    <w:rsid w:val="00940DF6"/>
    <w:pPr>
      <w:spacing w:before="40" w:after="40" w:line="276" w:lineRule="auto"/>
      <w:jc w:val="center"/>
    </w:pPr>
    <w:rPr>
      <w:rFonts w:ascii="Verdana" w:eastAsia="MS Mincho" w:hAnsi="Verdana" w:cs="Arial"/>
      <w:sz w:val="16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Verdana" w:hAnsi="Verdana"/>
        <w:b/>
        <w:color w:val="FFFFFF"/>
        <w:sz w:val="16"/>
      </w:rPr>
      <w:tblPr/>
      <w:tcPr>
        <w:shd w:val="clear" w:color="auto" w:fill="538135"/>
        <w:vAlign w:val="center"/>
      </w:tcPr>
    </w:tblStylePr>
  </w:style>
  <w:style w:type="table" w:styleId="ListTable3-Accent5">
    <w:name w:val="List Table 3 Accent 5"/>
    <w:basedOn w:val="TableNormal"/>
    <w:uiPriority w:val="48"/>
    <w:rsid w:val="00940DF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3C4E20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C4E20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C4E20"/>
  </w:style>
  <w:style w:type="character" w:styleId="FollowedHyperlink">
    <w:name w:val="FollowedHyperlink"/>
    <w:basedOn w:val="DefaultParagraphFont"/>
    <w:uiPriority w:val="99"/>
    <w:semiHidden/>
    <w:unhideWhenUsed/>
    <w:rsid w:val="003C4E20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19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193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19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mart-cities-marketplace.ec.europa.eu/city/hv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art-cities-marketplace.ec.europa.eu/projects-and-sites/cities?f%5B0%5D=fellow_city%3A1&amp;page=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11BD8D479B847A898FA2FFC1111E2" ma:contentTypeVersion="15" ma:contentTypeDescription="Create a new document." ma:contentTypeScope="" ma:versionID="7ed4ed8d471f29cd7762713477dc497e">
  <xsd:schema xmlns:xsd="http://www.w3.org/2001/XMLSchema" xmlns:xs="http://www.w3.org/2001/XMLSchema" xmlns:p="http://schemas.microsoft.com/office/2006/metadata/properties" xmlns:ns3="c3907bbd-5c00-4c54-b2c1-e1f9cb03272c" xmlns:ns4="11550bb6-ed6a-4270-88f7-c7aacfd98953" targetNamespace="http://schemas.microsoft.com/office/2006/metadata/properties" ma:root="true" ma:fieldsID="c09a391602c08e50e2b76e980b0297ba" ns3:_="" ns4:_="">
    <xsd:import namespace="c3907bbd-5c00-4c54-b2c1-e1f9cb03272c"/>
    <xsd:import namespace="11550bb6-ed6a-4270-88f7-c7aacfd98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07bbd-5c00-4c54-b2c1-e1f9cb032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50bb6-ed6a-4270-88f7-c7aacfd98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C6E7-FED5-420B-8FDE-199A02CC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07bbd-5c00-4c54-b2c1-e1f9cb03272c"/>
    <ds:schemaRef ds:uri="11550bb6-ed6a-4270-88f7-c7aacfd98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AE6DE-A849-44CD-A268-1DA21FBCC5C8}">
  <ds:schemaRefs>
    <ds:schemaRef ds:uri="http://schemas.microsoft.com/office/2006/metadata/properties"/>
    <ds:schemaRef ds:uri="11550bb6-ed6a-4270-88f7-c7aacfd98953"/>
    <ds:schemaRef ds:uri="http://purl.org/dc/terms/"/>
    <ds:schemaRef ds:uri="c3907bbd-5c00-4c54-b2c1-e1f9cb03272c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88833D-2C88-4FE4-A35D-BEF75EFA2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86267-D70B-4421-831A-26CD0324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4525</Words>
  <Characters>25795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Gabrijela Babić</cp:lastModifiedBy>
  <cp:revision>7</cp:revision>
  <cp:lastPrinted>2026-04-08T09:34:00Z</cp:lastPrinted>
  <dcterms:created xsi:type="dcterms:W3CDTF">2026-04-07T12:39:00Z</dcterms:created>
  <dcterms:modified xsi:type="dcterms:W3CDTF">2026-04-08T09:44:00Z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0x010100E2111BD8D479B847A898FA2FFC1111E2</vt:lpwstr>
  </property>
  <property fmtid="{D5CDD505-2E9C-101B-9397-08002B2CF9AE}" pid="3" name="GrammarlyDocumentId">
    <vt:lpwstr>8e4550f4b8bc4329aad8b9c29de7d6e81263d333a93fdf51a7b62590ff427b2d</vt:lpwstr>
  </property>
</Properties>
</file>